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1D" w:rsidRDefault="00610A1D" w:rsidP="00610A1D">
      <w:pPr>
        <w:jc w:val="center"/>
        <w:rPr>
          <w:rFonts w:ascii="Times New Roman" w:hAnsi="Times New Roman" w:cs="Times New Roman"/>
          <w:sz w:val="28"/>
        </w:rPr>
      </w:pPr>
    </w:p>
    <w:p w:rsidR="00890450" w:rsidRPr="00610A1D" w:rsidRDefault="000E5512" w:rsidP="00610A1D">
      <w:pPr>
        <w:jc w:val="center"/>
        <w:rPr>
          <w:rFonts w:ascii="Times New Roman" w:hAnsi="Times New Roman" w:cs="Times New Roman"/>
          <w:sz w:val="28"/>
        </w:rPr>
      </w:pPr>
      <w:r w:rsidRPr="00610A1D">
        <w:rPr>
          <w:rFonts w:ascii="Times New Roman" w:hAnsi="Times New Roman" w:cs="Times New Roman"/>
          <w:sz w:val="28"/>
        </w:rPr>
        <w:t>Воронежский Государственный Университет</w:t>
      </w:r>
    </w:p>
    <w:p w:rsidR="00890450" w:rsidRPr="00610A1D" w:rsidRDefault="000E5512" w:rsidP="00610A1D">
      <w:pPr>
        <w:jc w:val="center"/>
      </w:pPr>
      <w:r w:rsidRPr="00610A1D">
        <w:rPr>
          <w:rFonts w:ascii="Times New Roman" w:hAnsi="Times New Roman" w:cs="Times New Roman"/>
          <w:sz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 xml:space="preserve">мин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4814" w:rsidRDefault="001E4814" w:rsidP="001E48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 w:rsidP="001E48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610A1D" w:rsidRDefault="00BC0A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8065915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6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7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8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</w:rPr>
              <w:t>Соглашения о терминах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_Toc8065918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3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19" w:history="1">
            <w:r w:rsidR="00610A1D" w:rsidRPr="00025BBD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_Toc8065919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0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_Toc8065920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65921" w:history="1">
            <w:r w:rsidR="00610A1D" w:rsidRPr="00025BBD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_Toc8065921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4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2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_Toc8065922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5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3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_Toc8065923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4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_Toc8065924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6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8065925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_Toc8065925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6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_Toc8065926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7</w:t>
            </w:r>
            <w:r w:rsidR="00610A1D">
              <w:rPr>
                <w:noProof/>
              </w:rPr>
              <w:fldChar w:fldCharType="end"/>
            </w:r>
          </w:hyperlink>
        </w:p>
        <w:p w:rsidR="00610A1D" w:rsidRDefault="00150CB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8065927" w:history="1">
            <w:r w:rsidR="00610A1D" w:rsidRPr="00025BBD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610A1D">
              <w:rPr>
                <w:noProof/>
              </w:rPr>
              <w:tab/>
            </w:r>
            <w:r w:rsidR="00610A1D">
              <w:rPr>
                <w:noProof/>
              </w:rPr>
              <w:fldChar w:fldCharType="begin"/>
            </w:r>
            <w:r w:rsidR="00610A1D">
              <w:rPr>
                <w:noProof/>
              </w:rPr>
              <w:instrText xml:space="preserve"> PAGEREF _Toc8065927 \h </w:instrText>
            </w:r>
            <w:r w:rsidR="00610A1D">
              <w:rPr>
                <w:noProof/>
              </w:rPr>
            </w:r>
            <w:r w:rsidR="00610A1D">
              <w:rPr>
                <w:noProof/>
              </w:rPr>
              <w:fldChar w:fldCharType="separate"/>
            </w:r>
            <w:r w:rsidR="00610A1D">
              <w:rPr>
                <w:noProof/>
              </w:rPr>
              <w:t>8</w:t>
            </w:r>
            <w:r w:rsidR="00610A1D">
              <w:rPr>
                <w:noProof/>
              </w:rPr>
              <w:fldChar w:fldCharType="end"/>
            </w:r>
          </w:hyperlink>
        </w:p>
        <w:p w:rsidR="00890450" w:rsidRPr="009E56A1" w:rsidRDefault="00BC0A87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8065915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8065916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</w:t>
      </w:r>
      <w:r w:rsidR="00826754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150CB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bookmarkStart w:id="2" w:name="_GoBack"/>
      <w:bookmarkEnd w:id="2"/>
      <w:r w:rsidR="008267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806591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Default="000E5512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26754" w:rsidRPr="00826754" w:rsidRDefault="00826754" w:rsidP="00826754">
      <w:pPr>
        <w:pStyle w:val="2"/>
        <w:rPr>
          <w:rStyle w:val="a5"/>
          <w:rFonts w:ascii="Times New Roman" w:hAnsi="Times New Roman" w:cs="Times New Roman"/>
          <w:sz w:val="28"/>
          <w:szCs w:val="28"/>
        </w:rPr>
      </w:pPr>
      <w:bookmarkStart w:id="4" w:name="_Toc8065918"/>
      <w:r w:rsidRPr="00826754">
        <w:rPr>
          <w:rStyle w:val="a5"/>
          <w:rFonts w:ascii="Times New Roman" w:hAnsi="Times New Roman" w:cs="Times New Roman"/>
          <w:sz w:val="28"/>
          <w:szCs w:val="28"/>
        </w:rPr>
        <w:t>Соглашения о терминах</w:t>
      </w:r>
      <w:bookmarkEnd w:id="4"/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Сайт – веб-страница в сети Интернет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Разработчик – сотрудник компании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Менеджер – сотрудник компании, специализирующийся на контроле деятельности разработчиков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Логин – уникальное имя пользователя в системе</w:t>
      </w:r>
    </w:p>
    <w:p w:rsidR="00826754" w:rsidRPr="0097597F" w:rsidRDefault="00826754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Неавторизованный пользователь – пользователь, который не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Авторизованный пользователь – пользователь, который вошел в систему посредством ввода своего пароля и логина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Переработка – работа во время выходного дня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Активность – вид рабочего дня сотрудника (больничный, отпуск, командировка, переработка)</w:t>
      </w:r>
    </w:p>
    <w:p w:rsidR="0097597F" w:rsidRPr="0097597F" w:rsidRDefault="0097597F" w:rsidP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Форма обратной связи – поля для ввода данных, впоследствии обрабатываемых сервером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Хостинг – предоставление ресурсов для корректной работы сайта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 – рабочая среда, использующаяся для выполнения некоторых действий</w:t>
      </w:r>
    </w:p>
    <w:p w:rsidR="0097597F" w:rsidRPr="0097597F" w:rsidRDefault="0097597F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 – систематизированные некоторым образом данные, использующиеся при работе сайта</w:t>
      </w:r>
    </w:p>
    <w:p w:rsidR="0097597F" w:rsidRDefault="0097597F">
      <w:pPr>
        <w:spacing w:after="0" w:line="240" w:lineRule="auto"/>
        <w:rPr>
          <w:rStyle w:val="a5"/>
          <w:rFonts w:ascii="Times New Roman" w:eastAsia="Noto Sans Mono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806591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</w:t>
      </w:r>
      <w:r w:rsidR="001E4814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может быть</w:t>
      </w: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6" w:name="_Toc806592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8065921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8B671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</w:t>
      </w:r>
    </w:p>
    <w:p w:rsidR="000C44C3" w:rsidRDefault="000E5512" w:rsidP="000C44C3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</w:t>
      </w:r>
    </w:p>
    <w:p w:rsidR="000C44C3" w:rsidRDefault="000C44C3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:rsidR="005D0AB8" w:rsidRDefault="005D0AB8">
      <w:pPr>
        <w:pStyle w:val="2"/>
        <w:rPr>
          <w:rFonts w:ascii="Times New Roman" w:hAnsi="Times New Roman" w:cs="Times New Roman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9" w:name="_Toc8065922"/>
      <w:r w:rsidRPr="009E56A1">
        <w:rPr>
          <w:rFonts w:ascii="Times New Roman" w:hAnsi="Times New Roman" w:cs="Times New Roman"/>
        </w:rPr>
        <w:t>Функциональность продукта</w:t>
      </w:r>
      <w:bookmarkEnd w:id="9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890450" w:rsidRPr="00D76BDE" w:rsidRDefault="000E551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5D0AB8">
        <w:tc>
          <w:tcPr>
            <w:tcW w:w="2660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890450" w:rsidRPr="009E56A1" w:rsidRDefault="001A088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76BDE" w:rsidRPr="009E56A1" w:rsidTr="005D0AB8">
        <w:tc>
          <w:tcPr>
            <w:tcW w:w="2660" w:type="dxa"/>
            <w:shd w:val="clear" w:color="auto" w:fill="auto"/>
          </w:tcPr>
          <w:p w:rsidR="00D76BDE" w:rsidRPr="009E56A1" w:rsidRDefault="00D76BDE" w:rsidP="00CF0C82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76BDE" w:rsidRPr="009E56A1" w:rsidTr="005D0AB8">
        <w:tc>
          <w:tcPr>
            <w:tcW w:w="2660" w:type="dxa"/>
            <w:vMerge w:val="restart"/>
            <w:shd w:val="clear" w:color="auto" w:fill="auto"/>
          </w:tcPr>
          <w:p w:rsidR="00D76BDE" w:rsidRPr="009E56A1" w:rsidRDefault="00D76BDE" w:rsidP="00B75BB8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76BDE" w:rsidRPr="009E56A1" w:rsidTr="005D0AB8">
        <w:tc>
          <w:tcPr>
            <w:tcW w:w="2660" w:type="dxa"/>
            <w:vMerge/>
            <w:shd w:val="clear" w:color="auto" w:fill="auto"/>
          </w:tcPr>
          <w:p w:rsidR="00D76BDE" w:rsidRPr="009E56A1" w:rsidRDefault="00D76BD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76BDE" w:rsidRPr="00D76BDE" w:rsidRDefault="00D76BDE" w:rsidP="00D76BD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76BDE" w:rsidRPr="009E56A1" w:rsidRDefault="00D76BDE" w:rsidP="00D440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8065923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10"/>
    </w:p>
    <w:p w:rsidR="00890450" w:rsidRPr="009E56A1" w:rsidRDefault="00D76BDE" w:rsidP="00B1416D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1DB807F" wp14:editId="6CDD7036">
            <wp:extent cx="6317487" cy="3638550"/>
            <wp:effectExtent l="19050" t="0" r="7113" b="0"/>
            <wp:docPr id="1" name="Рисунок 0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3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8065924"/>
      <w:r w:rsidRPr="009E56A1">
        <w:rPr>
          <w:rFonts w:ascii="Times New Roman" w:hAnsi="Times New Roman" w:cs="Times New Roman"/>
        </w:rPr>
        <w:t>Среда функционирования продукта</w:t>
      </w:r>
      <w:bookmarkEnd w:id="11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фреймворк</w:t>
      </w:r>
      <w:r w:rsid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</w:t>
      </w:r>
      <w:r w:rsidR="0097597F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B1416D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B1416D" w:rsidRDefault="00B1416D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2" w:name="_Toc8065925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2"/>
    </w:p>
    <w:p w:rsidR="00890450" w:rsidRDefault="000E5512" w:rsidP="00AA7B74">
      <w:pPr>
        <w:pStyle w:val="Index"/>
        <w:rPr>
          <w:color w:val="000000"/>
          <w:sz w:val="27"/>
          <w:szCs w:val="27"/>
        </w:rPr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="003D535C">
        <w:rPr>
          <w:noProof/>
          <w:lang w:eastAsia="ru-RU"/>
        </w:rPr>
        <w:drawing>
          <wp:inline distT="0" distB="0" distL="0" distR="0" wp14:anchorId="0626ACED" wp14:editId="14C4A364">
            <wp:extent cx="3925751" cy="1828800"/>
            <wp:effectExtent l="19050" t="0" r="0" b="0"/>
            <wp:docPr id="5" name="Рисунок 4" descr="Signing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g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75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Login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логин</w:t>
      </w:r>
      <w:r>
        <w:rPr>
          <w:color w:val="000000"/>
          <w:sz w:val="27"/>
          <w:szCs w:val="27"/>
        </w:rPr>
        <w:br/>
        <w:t xml:space="preserve">В поле </w:t>
      </w:r>
      <w:r w:rsidRPr="00C14734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Password</w:t>
      </w:r>
      <w:r w:rsidRPr="00C14734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неавторизованный пользователь вводит свой пароль</w:t>
      </w:r>
    </w:p>
    <w:p w:rsid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условии совпадения введенного с информацией из базы данных пользователь входит в систему и переходит на главную страницу для своей группы.</w:t>
      </w:r>
    </w:p>
    <w:p w:rsidR="00C14734" w:rsidRPr="00C14734" w:rsidRDefault="00C14734" w:rsidP="00AA7B74">
      <w:pPr>
        <w:pStyle w:val="Index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Иначе окно входа в систему показывается снова.</w:t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3" w:name="_Toc8065926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3"/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BCFC02" wp14:editId="2B1CB9E9">
            <wp:extent cx="4762500" cy="256983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заказа переработки, нажав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overtime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C14734">
      <w:r>
        <w:br w:type="page"/>
      </w:r>
    </w:p>
    <w:p w:rsidR="0013075B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</w:p>
    <w:p w:rsidR="00890450" w:rsidRDefault="000E5512" w:rsidP="0013075B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14E9AD" wp14:editId="25555702">
            <wp:extent cx="4764332" cy="2819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36" cy="28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разработчик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C14734" w:rsidRDefault="00C14734" w:rsidP="000D513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C14734">
        <w:rPr>
          <w:rFonts w:ascii="Times New Roman" w:hAnsi="Times New Roman" w:cs="Times New Roman"/>
          <w:color w:val="000000"/>
          <w:sz w:val="27"/>
          <w:szCs w:val="27"/>
        </w:rPr>
        <w:t>Заказать переработку, введя дату в поле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Date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 и нажав кнопку “</w:t>
      </w:r>
      <w:r w:rsidRPr="00C14734">
        <w:rPr>
          <w:rFonts w:ascii="Times New Roman" w:hAnsi="Times New Roman" w:cs="Times New Roman"/>
          <w:color w:val="000000"/>
          <w:sz w:val="27"/>
          <w:szCs w:val="27"/>
          <w:lang w:val="en-US"/>
        </w:rPr>
        <w:t>Order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8065927"/>
      <w:r w:rsidRPr="009E56A1">
        <w:rPr>
          <w:rFonts w:ascii="Times New Roman" w:hAnsi="Times New Roman" w:cs="Times New Roman"/>
        </w:rPr>
        <w:t>Структура для пользователя группы «Менеджеры»:</w:t>
      </w:r>
      <w:bookmarkEnd w:id="14"/>
    </w:p>
    <w:p w:rsidR="003D535C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63392" cy="23859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92" cy="23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14734" w:rsidRPr="00C14734" w:rsidRDefault="00C14734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9564" cy="325085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64" cy="32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34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C14734" w:rsidRDefault="00C14734" w:rsidP="00C14734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Сменить активность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 сотрудника, выбрав ее из выпадающего списка, и нажав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Submit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C14734" w:rsidRPr="009E56A1" w:rsidRDefault="00C14734" w:rsidP="00C14734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49313" cy="3292464"/>
            <wp:effectExtent l="19050" t="0" r="3537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313" cy="32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087532" w:rsidRDefault="00087532" w:rsidP="00087532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Начать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Begin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Закончить рабочий день сотрудника,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End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day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087532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C14734" w:rsidRDefault="008D59C7" w:rsidP="008D59C7">
      <w:pPr>
        <w:pStyle w:val="aa"/>
        <w:ind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8D59C7" w:rsidRPr="009E56A1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 w:rsidP="00B1416D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8D59C7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B1416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noProof/>
          <w:lang w:eastAsia="ru-RU"/>
        </w:rPr>
        <w:drawing>
          <wp:inline distT="0" distB="0" distL="0" distR="0">
            <wp:extent cx="4663406" cy="3371850"/>
            <wp:effectExtent l="19050" t="0" r="384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38" cy="3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Зарегистрировать нового пользователя, введя данные в форму 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”,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нажав на кнопку 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Register</w:t>
      </w:r>
      <w:r w:rsidRPr="008D59C7">
        <w:rPr>
          <w:rFonts w:ascii="Times New Roman" w:hAnsi="Times New Roman" w:cs="Times New Roman"/>
          <w:color w:val="000000"/>
          <w:sz w:val="27"/>
          <w:szCs w:val="27"/>
        </w:rPr>
        <w:t>”.</w:t>
      </w:r>
    </w:p>
    <w:p w:rsidR="008D59C7" w:rsidRPr="008D59C7" w:rsidRDefault="008D59C7" w:rsidP="008D59C7">
      <w:r>
        <w:br w:type="page"/>
      </w:r>
    </w:p>
    <w:p w:rsidR="008D59C7" w:rsidRPr="00B1416D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3D535C" w:rsidRPr="003D535C" w:rsidRDefault="000E5512" w:rsidP="00B1416D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</w:p>
    <w:p w:rsidR="00890450" w:rsidRDefault="000E5512" w:rsidP="003D535C">
      <w:pPr>
        <w:pStyle w:val="aa"/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00575" cy="415115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75" cy="41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C7" w:rsidRDefault="008D59C7" w:rsidP="008D59C7">
      <w:pPr>
        <w:pStyle w:val="aa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 данной странице менеджер может: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Выйти из системы,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Exit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Сменить свою активность, выбрав необходимую из выпадающего списка и нажав на кнопку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Перейти на страницу смены активности сотрудника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Change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activity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контроля рабочего дня сотрудника,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Workday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managing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регистрации новых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Registration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of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worker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Default="008D59C7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Перейти на страницу увольнения сотрудников, нажав на 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Pr="00C14734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D59C7" w:rsidRPr="00B1416D" w:rsidRDefault="00A57285" w:rsidP="008D59C7">
      <w:pPr>
        <w:pStyle w:val="aa"/>
        <w:numPr>
          <w:ilvl w:val="0"/>
          <w:numId w:val="9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Удалить сотрудника из системы</w:t>
      </w:r>
      <w:r w:rsidR="008D59C7">
        <w:rPr>
          <w:rFonts w:ascii="Times New Roman" w:hAnsi="Times New Roman" w:cs="Times New Roman"/>
          <w:color w:val="000000"/>
          <w:sz w:val="27"/>
          <w:szCs w:val="27"/>
        </w:rPr>
        <w:t xml:space="preserve">, нажав на кнопку 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Delete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8D59C7">
        <w:rPr>
          <w:rFonts w:ascii="Times New Roman" w:hAnsi="Times New Roman" w:cs="Times New Roman"/>
          <w:color w:val="000000"/>
          <w:sz w:val="27"/>
          <w:szCs w:val="27"/>
          <w:lang w:val="en-US"/>
        </w:rPr>
        <w:t>user</w:t>
      </w:r>
      <w:r w:rsidR="008D59C7" w:rsidRPr="008D59C7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:rsidR="00890450" w:rsidRPr="009E56A1" w:rsidRDefault="00890450">
      <w:pPr>
        <w:rPr>
          <w:rFonts w:ascii="Times New Roman" w:hAnsi="Times New Roman" w:cs="Times New Roman"/>
        </w:rPr>
      </w:pP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A5DF5"/>
    <w:multiLevelType w:val="hybridMultilevel"/>
    <w:tmpl w:val="7C16C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3254B"/>
    <w:rsid w:val="00064AB4"/>
    <w:rsid w:val="00066A7E"/>
    <w:rsid w:val="00087532"/>
    <w:rsid w:val="00087C5C"/>
    <w:rsid w:val="000901D3"/>
    <w:rsid w:val="000C44C3"/>
    <w:rsid w:val="000E5512"/>
    <w:rsid w:val="00115613"/>
    <w:rsid w:val="0013075B"/>
    <w:rsid w:val="00150CBA"/>
    <w:rsid w:val="0017222F"/>
    <w:rsid w:val="001A0887"/>
    <w:rsid w:val="001B1C57"/>
    <w:rsid w:val="001E4814"/>
    <w:rsid w:val="00205711"/>
    <w:rsid w:val="0025468B"/>
    <w:rsid w:val="002941B2"/>
    <w:rsid w:val="002D5661"/>
    <w:rsid w:val="00337746"/>
    <w:rsid w:val="003D535C"/>
    <w:rsid w:val="00484D43"/>
    <w:rsid w:val="00516277"/>
    <w:rsid w:val="0055470A"/>
    <w:rsid w:val="0056240F"/>
    <w:rsid w:val="005D0AB8"/>
    <w:rsid w:val="00610A1D"/>
    <w:rsid w:val="00672462"/>
    <w:rsid w:val="007373B1"/>
    <w:rsid w:val="00757455"/>
    <w:rsid w:val="00773327"/>
    <w:rsid w:val="00797BF2"/>
    <w:rsid w:val="00826754"/>
    <w:rsid w:val="00890450"/>
    <w:rsid w:val="008B6710"/>
    <w:rsid w:val="008D59C7"/>
    <w:rsid w:val="0097597F"/>
    <w:rsid w:val="00984001"/>
    <w:rsid w:val="009E56A1"/>
    <w:rsid w:val="00A57285"/>
    <w:rsid w:val="00A62B01"/>
    <w:rsid w:val="00A971B3"/>
    <w:rsid w:val="00AA7B74"/>
    <w:rsid w:val="00B1416D"/>
    <w:rsid w:val="00B149F8"/>
    <w:rsid w:val="00B25A81"/>
    <w:rsid w:val="00B5196F"/>
    <w:rsid w:val="00B71DF7"/>
    <w:rsid w:val="00B841D3"/>
    <w:rsid w:val="00BC0A87"/>
    <w:rsid w:val="00C10222"/>
    <w:rsid w:val="00C14734"/>
    <w:rsid w:val="00C5725C"/>
    <w:rsid w:val="00D76BDE"/>
    <w:rsid w:val="00EB3774"/>
    <w:rsid w:val="00EB73B1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FF9A"/>
  <w15:docId w15:val="{04EFC153-1970-4ECF-8579-4B3FFA9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B9ED-722B-4FBD-A9C0-4EAECE0D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134</cp:revision>
  <dcterms:created xsi:type="dcterms:W3CDTF">2019-03-15T14:30:00Z</dcterms:created>
  <dcterms:modified xsi:type="dcterms:W3CDTF">2019-05-12T18:37:00Z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