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SIH26038 — EXPLAINABLE AI FOR DIABETIC RETINOPATHY SCREENING</w:t>
      </w:r>
    </w:p>
    <w:p>
      <w:pPr>
        <w:spacing w:after="40"/>
        <w:jc w:val="center"/>
      </w:pPr>
      <w:r>
        <w:rPr>
          <w:i/>
          <w:iCs/>
          <w:color w:val="2E5395"/>
          <w:sz w:val="24"/>
          <w:szCs w:val="24"/>
        </w:rPr>
        <w:t xml:space="preserve">Revised Architecture Proposal: Responding to Independent Technical, Clinical, and Regulatory Review</w:t>
      </w:r>
    </w:p>
    <w:p>
      <w:pPr>
        <w:pBdr>
          <w:bottom w:val="single" w:color="1F3864" w:sz="10" w:space="8"/>
        </w:pBdr>
        <w:spacing w:after="320"/>
        <w:jc w:val="center"/>
      </w:pPr>
      <w:r>
        <w:rPr>
          <w:color w:val="595959"/>
          <w:sz w:val="18"/>
          <w:szCs w:val="18"/>
        </w:rPr>
        <w:t xml:space="preserve">MathWorks | MedTech / BioTech / HealthTech | Software</w:t>
      </w:r>
    </w:p>
    <w:p>
      <w:pPr>
        <w:pStyle w:val="Heading1"/>
        <w:pBdr>
          <w:bottom w:val="single" w:color="2E5395" w:sz="6" w:space="4"/>
        </w:pBdr>
        <w:spacing w:after="160" w:before="360"/>
      </w:pPr>
      <w:r>
        <w:rPr>
          <w:b/>
          <w:bCs/>
          <w:color w:val="1F3864"/>
          <w:sz w:val="28"/>
          <w:szCs w:val="28"/>
        </w:rPr>
        <w:t xml:space="preserve">1. Executive Summary</w:t>
      </w:r>
    </w:p>
    <w:p>
      <w:pPr>
        <w:spacing w:after="160" w:line="276"/>
      </w:pPr>
      <w:r>
        <w:rPr>
          <w:sz w:val="21"/>
          <w:szCs w:val="21"/>
        </w:rPr>
        <w:t xml:space="preserve">Two independent critical reviews of the initial architecture — a classical-CV quality gate, a U-Net segmentation network, an EfficientNet/ResNet severity ensemble, a post-hoc consistency check, Grad-CAM explainability, and a Simulink queueing model — converged on the same core failure modes: destructive downsampling of the lesions the system is meant to detect, a disjointed rather than integrated architecture, a quality gate that masks rather than solves domain shift, an unmodeled regulatory and infrastructure reality, and overstated clinical-validation language. This report keeps every MathWorks-stack requirement from the original problem statement but redesigns the pipeline around those findings: a single multi-task network operating on native-resolution image patches, on-device edge inference to remove the telemedicine bandwidth bottleneck, a domain-adaptation step in place of blanket rejection, a Simulink model that accounts for power, network, and consent-workflow disruptions, and validation language that matches what a 48-hour prototype can actually claim.</w:t>
      </w:r>
    </w:p>
    <w:p>
      <w:pPr>
        <w:pStyle w:val="Heading1"/>
        <w:pBdr>
          <w:bottom w:val="single" w:color="2E5395" w:sz="6" w:space="4"/>
        </w:pBdr>
        <w:spacing w:after="160" w:before="360"/>
      </w:pPr>
      <w:r>
        <w:rPr>
          <w:b/>
          <w:bCs/>
          <w:color w:val="1F3864"/>
          <w:sz w:val="28"/>
          <w:szCs w:val="28"/>
        </w:rPr>
        <w:t xml:space="preserve">2. Fixing the Microaneurysm / Downsampling Problem</w:t>
      </w:r>
    </w:p>
    <w:p>
      <w:pPr>
        <w:spacing w:after="160" w:line="276"/>
      </w:pPr>
      <w:r>
        <w:rPr>
          <w:sz w:val="21"/>
          <w:szCs w:val="21"/>
        </w:rPr>
        <w:t xml:space="preserve">Referable DR (ICDR Level 2+) is distinguished from mild DR largely by lesions — microaneurysms, dot hemorrhages, small exudates — that occupy only a handful of pixels even in a 3000–4000px clinical fundus image. Resizing that image to the 224–512px input a standard CNN expects destroys exactly the evidence the classifier needs at the Level 1/Level 2 boundary.</w:t>
      </w:r>
    </w:p>
    <w:p>
      <w:pPr>
        <w:spacing w:after="60" w:before="100"/>
      </w:pPr>
      <w:r>
        <w:rPr>
          <w:b/>
          <w:bCs/>
          <w:i/>
          <w:iCs/>
          <w:color w:val="595959"/>
          <w:sz w:val="20"/>
          <w:szCs w:val="20"/>
        </w:rPr>
        <w:t xml:space="preserve">Revised approach</w:t>
      </w:r>
    </w:p>
    <w:p>
      <w:pPr>
        <w:pStyle w:val="ListParagraph"/>
        <w:numPr>
          <w:ilvl w:val="0"/>
          <w:numId w:val="2"/>
        </w:numPr>
        <w:spacing w:after="80" w:line="270"/>
      </w:pPr>
      <w:r>
        <w:rPr>
          <w:sz w:val="21"/>
          <w:szCs w:val="21"/>
        </w:rPr>
        <w:t xml:space="preserve">Load images lazily with blockedImage / blockedImageDatastore (Image Processing Toolbox + Medical Imaging Toolbox) and train on overlapping high-resolution patches (e.g. 512×512) instead of a single downsampled frame.</w:t>
      </w:r>
    </w:p>
    <w:p>
      <w:pPr>
        <w:pStyle w:val="ListParagraph"/>
        <w:numPr>
          <w:ilvl w:val="0"/>
          <w:numId w:val="2"/>
        </w:numPr>
        <w:spacing w:after="80" w:line="270"/>
      </w:pPr>
      <w:r>
        <w:rPr>
          <w:sz w:val="21"/>
          <w:szCs w:val="21"/>
        </w:rPr>
        <w:t xml:space="preserve">A shared encoder scores each patch; a lightweight aggregation layer (max/attention-pooling over patch scores) produces the whole-eye ICDR grade, so no single patch's lesion evidence is diluted by averaging across the full image.</w:t>
      </w:r>
    </w:p>
    <w:p>
      <w:pPr>
        <w:pStyle w:val="ListParagraph"/>
        <w:numPr>
          <w:ilvl w:val="0"/>
          <w:numId w:val="2"/>
        </w:numPr>
        <w:spacing w:after="80" w:line="270"/>
      </w:pPr>
      <w:r>
        <w:rPr>
          <w:sz w:val="21"/>
          <w:szCs w:val="21"/>
        </w:rPr>
        <w:t xml:space="preserve">This directly targets the sensitivity requirement at the Level 1/Level 2 boundary — the specific failure point both reviews traced the original design's sensitivity risk to.</w:t>
      </w:r>
    </w:p>
    <w:p>
      <w:pPr>
        <w:pStyle w:val="Heading1"/>
        <w:pBdr>
          <w:bottom w:val="single" w:color="2E5395" w:sz="6" w:space="4"/>
        </w:pBdr>
        <w:spacing w:after="160" w:before="360"/>
      </w:pPr>
      <w:r>
        <w:rPr>
          <w:b/>
          <w:bCs/>
          <w:color w:val="1F3864"/>
          <w:sz w:val="28"/>
          <w:szCs w:val="28"/>
        </w:rPr>
        <w:t xml:space="preserve">3. One Network, Not Two: Multi-Task Learning Architecture</w:t>
      </w:r>
    </w:p>
    <w:p>
      <w:pPr>
        <w:spacing w:after="160" w:line="276"/>
      </w:pPr>
      <w:r>
        <w:rPr>
          <w:sz w:val="21"/>
          <w:szCs w:val="21"/>
        </w:rPr>
        <w:t xml:space="preserve">The original design ran a U-Net for segmentation and an EfficientNet/ResNet ensemble for grading as two unconnected models, bridged only by a rule that flagged disagreement between them after the fact. Both reviews called that bridge a hardcoded heuristic rather than a learned mechanism, and noted it was really an admission that the grading network could be right for the wrong reasons (e.g. learning camera artifacts instead of pathology).</w:t>
      </w:r>
    </w:p>
    <w:p>
      <w:pPr>
        <w:spacing w:after="60" w:before="100"/>
      </w:pPr>
      <w:r>
        <w:rPr>
          <w:b/>
          <w:bCs/>
          <w:i/>
          <w:iCs/>
          <w:color w:val="595959"/>
          <w:sz w:val="20"/>
          <w:szCs w:val="20"/>
        </w:rPr>
        <w:t xml:space="preserve">Revised approach</w:t>
      </w:r>
    </w:p>
    <w:p>
      <w:pPr>
        <w:pStyle w:val="ListParagraph"/>
        <w:numPr>
          <w:ilvl w:val="0"/>
          <w:numId w:val="2"/>
        </w:numPr>
        <w:spacing w:after="80" w:line="270"/>
      </w:pPr>
      <w:r>
        <w:rPr>
          <w:sz w:val="21"/>
          <w:szCs w:val="21"/>
        </w:rPr>
        <w:t xml:space="preserve">Build a single dlnetwork: one shared EfficientNet-B0 backbone with two heads — a pixel-wise segmentation head (vessels, microaneurysms, hemorrhages, exudates, optic disc/fovea) and a global ICDR severity head.</w:t>
      </w:r>
    </w:p>
    <w:p>
      <w:pPr>
        <w:pStyle w:val="ListParagraph"/>
        <w:numPr>
          <w:ilvl w:val="0"/>
          <w:numId w:val="2"/>
        </w:numPr>
        <w:spacing w:after="80" w:line="270"/>
      </w:pPr>
      <w:r>
        <w:rPr>
          <w:sz w:val="21"/>
          <w:szCs w:val="21"/>
        </w:rPr>
        <w:t xml:space="preserve">Train with a custom loop (dlfeval / dlgradient) on a combined loss: Generalized Dice Loss for the segmentation head + cross-entropy for the severity head.</w:t>
      </w:r>
    </w:p>
    <w:p>
      <w:pPr>
        <w:pStyle w:val="ListParagraph"/>
        <w:numPr>
          <w:ilvl w:val="0"/>
          <w:numId w:val="2"/>
        </w:numPr>
        <w:spacing w:after="80" w:line="270"/>
      </w:pPr>
      <w:r>
        <w:rPr>
          <w:sz w:val="21"/>
          <w:szCs w:val="21"/>
        </w:rPr>
        <w:t xml:space="preserve">Because both heads share the same high-resolution feature maps, the severity head is structurally forced to condition on lesion-level features rather than learning them independently — this removes the need for the after-the-fact consistency check entirely, and roughly halves training time and GPU memory versus two separate networks, which also helps the 48-hour budget.</w:t>
      </w:r>
    </w:p>
    <w:p>
      <w:pPr>
        <w:pStyle w:val="ListParagraph"/>
        <w:numPr>
          <w:ilvl w:val="0"/>
          <w:numId w:val="2"/>
        </w:numPr>
        <w:spacing w:after="80" w:line="270"/>
      </w:pPr>
      <w:r>
        <w:rPr>
          <w:sz w:val="21"/>
          <w:szCs w:val="21"/>
        </w:rPr>
        <w:t xml:space="preserve">Report the lesion counts/locations from the segmentation head as the primary interpretable evidence (a concept-bottleneck-style presentation: “4 microaneurysms, 1 hemorrhage detected → Level 2”), with Grad-CAM retained only as a coarse secondary sanity overlay, since both reviews found Grad-CAM's low-resolution heatmaps too blunt to justify a lesion-level referral on their own.</w:t>
      </w:r>
    </w:p>
    <w:p>
      <w:pPr>
        <w:pStyle w:val="Heading1"/>
        <w:pBdr>
          <w:bottom w:val="single" w:color="2E5395" w:sz="6" w:space="4"/>
        </w:pBdr>
        <w:spacing w:after="160" w:before="360"/>
      </w:pPr>
      <w:r>
        <w:rPr>
          <w:b/>
          <w:bCs/>
          <w:color w:val="1F3864"/>
          <w:sz w:val="28"/>
          <w:szCs w:val="28"/>
        </w:rPr>
        <w:t xml:space="preserve">4. From “Reject and Recapture” to Domain Adaptation</w:t>
      </w:r>
    </w:p>
    <w:p>
      <w:pPr>
        <w:spacing w:after="160" w:line="276"/>
      </w:pPr>
      <w:r>
        <w:rPr>
          <w:sz w:val="21"/>
          <w:szCs w:val="21"/>
        </w:rPr>
        <w:t xml:space="preserve">The original quality gate rejected ungradeable images and asked the field operator to recapture them. Both reviews pointed to the same real-world precedent: a Google Health diabetic retinopathy deployment across rural Thailand clinics used an equivalent gate and saw a 20–30% rejection rate on portable-camera images, with most rejected patients never returning for a second visit — turning a software limitation into a public-health failure.</w:t>
      </w:r>
    </w:p>
    <w:p>
      <w:pPr>
        <w:spacing w:after="60" w:before="100"/>
      </w:pPr>
      <w:r>
        <w:rPr>
          <w:b/>
          <w:bCs/>
          <w:i/>
          <w:iCs/>
          <w:color w:val="595959"/>
          <w:sz w:val="20"/>
          <w:szCs w:val="20"/>
        </w:rPr>
        <w:t xml:space="preserve">Revised approach</w:t>
      </w:r>
    </w:p>
    <w:p>
      <w:pPr>
        <w:pStyle w:val="ListParagraph"/>
        <w:numPr>
          <w:ilvl w:val="0"/>
          <w:numId w:val="2"/>
        </w:numPr>
        <w:spacing w:after="80" w:line="270"/>
      </w:pPr>
      <w:r>
        <w:rPr>
          <w:sz w:val="21"/>
          <w:szCs w:val="21"/>
        </w:rPr>
        <w:t xml:space="preserve">Keep the CV quality check only as a last-resort filter for genuinely unusable frames (e.g. fully obscured optic disc, near-total blur).</w:t>
      </w:r>
    </w:p>
    <w:p>
      <w:pPr>
        <w:pStyle w:val="ListParagraph"/>
        <w:numPr>
          <w:ilvl w:val="0"/>
          <w:numId w:val="2"/>
        </w:numPr>
        <w:spacing w:after="80" w:line="270"/>
      </w:pPr>
      <w:r>
        <w:rPr>
          <w:sz w:val="21"/>
          <w:szCs w:val="21"/>
        </w:rPr>
        <w:t xml:space="preserve">For the much larger “borderline” category — uneven illumination, mild glare, off-axis focus — apply a lightweight image-to-image domain-adaptation step (a small CycleGAN or comparable) that maps the portable-camera appearance toward the clinical-camera domain the network was trained on, rather than rejecting the patient.</w:t>
      </w:r>
    </w:p>
    <w:p>
      <w:pPr>
        <w:pStyle w:val="ListParagraph"/>
        <w:numPr>
          <w:ilvl w:val="0"/>
          <w:numId w:val="2"/>
        </w:numPr>
        <w:spacing w:after="80" w:line="270"/>
      </w:pPr>
      <w:r>
        <w:rPr>
          <w:sz w:val="21"/>
          <w:szCs w:val="21"/>
        </w:rPr>
        <w:t xml:space="preserve">Name this honestly as a mitigation, not a fix: without any portable-camera images in the training set, no adaptation step fully closes the domain gap. The roadmap section below states the real fix — a small real-world fine-tuning set — as future work rather than implying it is already solved.</w:t>
      </w:r>
    </w:p>
    <w:p>
      <w:pPr>
        <w:pStyle w:val="Heading1"/>
        <w:pBdr>
          <w:bottom w:val="single" w:color="2E5395" w:sz="6" w:space="4"/>
        </w:pBdr>
        <w:spacing w:after="160" w:before="360"/>
      </w:pPr>
      <w:r>
        <w:rPr>
          <w:b/>
          <w:bCs/>
          <w:color w:val="1F3864"/>
          <w:sz w:val="28"/>
          <w:szCs w:val="28"/>
        </w:rPr>
        <w:t xml:space="preserve">5. Edge Deployment: Removing the Telemedicine Bottleneck</w:t>
      </w:r>
    </w:p>
    <w:p>
      <w:pPr>
        <w:spacing w:after="160" w:line="276"/>
      </w:pPr>
      <w:r>
        <w:rPr>
          <w:sz w:val="21"/>
          <w:szCs w:val="21"/>
        </w:rPr>
        <w:t xml:space="preserve">Both reviews noted that a cloud-upload architecture is a poor fit for rural Indian connectivity, and that transmitting raw patient fundus images also triggers the full weight of India's DPDP Act / ABDM consent-and-transmission requirements before a single image can reach a server.</w:t>
      </w:r>
    </w:p>
    <w:p>
      <w:pPr>
        <w:spacing w:after="60" w:before="100"/>
      </w:pPr>
      <w:r>
        <w:rPr>
          <w:b/>
          <w:bCs/>
          <w:i/>
          <w:iCs/>
          <w:color w:val="595959"/>
          <w:sz w:val="20"/>
          <w:szCs w:val="20"/>
        </w:rPr>
        <w:t xml:space="preserve">Revised approach</w:t>
      </w:r>
    </w:p>
    <w:p>
      <w:pPr>
        <w:pStyle w:val="ListParagraph"/>
        <w:numPr>
          <w:ilvl w:val="0"/>
          <w:numId w:val="2"/>
        </w:numPr>
        <w:spacing w:after="80" w:line="270"/>
      </w:pPr>
      <w:r>
        <w:rPr>
          <w:sz w:val="21"/>
          <w:szCs w:val="21"/>
        </w:rPr>
        <w:t xml:space="preserve">Compile the trained dlnetwork with GPU Coder into a standalone CUDA/TensorRT executable and run inference locally on a Jetson Nano/Orin attached to the camera at the point of capture.</w:t>
      </w:r>
    </w:p>
    <w:p>
      <w:pPr>
        <w:pStyle w:val="ListParagraph"/>
        <w:numPr>
          <w:ilvl w:val="0"/>
          <w:numId w:val="2"/>
        </w:numPr>
        <w:spacing w:after="80" w:line="270"/>
      </w:pPr>
      <w:r>
        <w:rPr>
          <w:sz w:val="21"/>
          <w:szCs w:val="21"/>
        </w:rPr>
        <w:t xml:space="preserve">Only the output — the ICDR grade, lesion overlay, and confidence score, a few kilobytes — needs to leave the site, not the raw image, cutting bandwidth demand by orders of magnitude and removing the AI pipeline itself from the rural network bottleneck.</w:t>
      </w:r>
    </w:p>
    <w:p>
      <w:pPr>
        <w:pStyle w:val="ListParagraph"/>
        <w:numPr>
          <w:ilvl w:val="0"/>
          <w:numId w:val="2"/>
        </w:numPr>
        <w:spacing w:after="80" w:line="270"/>
      </w:pPr>
      <w:r>
        <w:rPr>
          <w:sz w:val="21"/>
          <w:szCs w:val="21"/>
        </w:rPr>
        <w:t xml:space="preserve">This does not eliminate the consent question — patient data is still being processed — but it does remove the specific “full-resolution image over 2G” failure mode both reviews described.</w:t>
      </w:r>
    </w:p>
    <w:p>
      <w:pPr>
        <w:pStyle w:val="Heading1"/>
        <w:pBdr>
          <w:bottom w:val="single" w:color="2E5395" w:sz="6" w:space="4"/>
        </w:pBdr>
        <w:spacing w:after="160" w:before="360"/>
      </w:pPr>
      <w:r>
        <w:rPr>
          <w:b/>
          <w:bCs/>
          <w:color w:val="1F3864"/>
          <w:sz w:val="28"/>
          <w:szCs w:val="28"/>
        </w:rPr>
        <w:t xml:space="preserve">6. A Simulink Model That Matches Rural Reality</w:t>
      </w:r>
    </w:p>
    <w:p>
      <w:pPr>
        <w:spacing w:after="160" w:line="276"/>
      </w:pPr>
      <w:r>
        <w:rPr>
          <w:sz w:val="21"/>
          <w:szCs w:val="21"/>
        </w:rPr>
        <w:t xml:space="preserve">The original Simulink layer modeled a clean queue: capture rate → bandwidth-constrained upload → processing → reviewer queue. Both reviews found this too close to a textbook M/M/1 system for an environment defined by disruption.</w:t>
      </w:r>
    </w:p>
    <w:p>
      <w:pPr>
        <w:spacing w:after="60" w:before="100"/>
      </w:pPr>
      <w:r>
        <w:rPr>
          <w:b/>
          <w:bCs/>
          <w:i/>
          <w:iCs/>
          <w:color w:val="595959"/>
          <w:sz w:val="20"/>
          <w:szCs w:val="20"/>
        </w:rPr>
        <w:t xml:space="preserve">Revised approach — additions to the SimEvents model</w:t>
      </w:r>
    </w:p>
    <w:p>
      <w:pPr>
        <w:pStyle w:val="ListParagraph"/>
        <w:numPr>
          <w:ilvl w:val="0"/>
          <w:numId w:val="2"/>
        </w:numPr>
        <w:spacing w:after="80" w:line="270"/>
      </w:pPr>
      <w:r>
        <w:rPr>
          <w:sz w:val="21"/>
          <w:szCs w:val="21"/>
        </w:rPr>
        <w:t xml:space="preserve">Stateflow + Simscape Battery states for camera/edge-device power: battery discharge, thermal throttling, and outage-triggered downtime, since screening camps run on intermittent grid power.</w:t>
      </w:r>
    </w:p>
    <w:p>
      <w:pPr>
        <w:pStyle w:val="ListParagraph"/>
        <w:numPr>
          <w:ilvl w:val="0"/>
          <w:numId w:val="2"/>
        </w:numPr>
        <w:spacing w:after="80" w:line="270"/>
      </w:pPr>
      <w:r>
        <w:rPr>
          <w:sz w:val="21"/>
          <w:szCs w:val="21"/>
        </w:rPr>
        <w:t xml:space="preserve">Stochastic packet-loss / connection-timeout events on the (now much smaller) report-upload link, rather than assuming a steady bandwidth-constrained stream.</w:t>
      </w:r>
    </w:p>
    <w:p>
      <w:pPr>
        <w:pStyle w:val="ListParagraph"/>
        <w:numPr>
          <w:ilvl w:val="0"/>
          <w:numId w:val="2"/>
        </w:numPr>
        <w:spacing w:after="80" w:line="270"/>
      </w:pPr>
      <w:r>
        <w:rPr>
          <w:sz w:val="21"/>
          <w:szCs w:val="21"/>
        </w:rPr>
        <w:t xml:space="preserve">An explicit discrete-event delay block for ABDM/DEPA consent-artifact generation (OTP/biometric verification) ahead of any data leaving the site — a real, variable-latency, failure-prone step the original model omitted entirely.</w:t>
      </w:r>
    </w:p>
    <w:p>
      <w:pPr>
        <w:pStyle w:val="ListParagraph"/>
        <w:numPr>
          <w:ilvl w:val="0"/>
          <w:numId w:val="2"/>
        </w:numPr>
        <w:spacing w:after="80" w:line="270"/>
      </w:pPr>
      <w:r>
        <w:rPr>
          <w:sz w:val="21"/>
          <w:szCs w:val="21"/>
        </w:rPr>
        <w:t xml:space="preserve">A calibration-drift/fault-injection parameter tied to hardware age, so the model's image-rejection rate rises over a camp's operating life instead of staying constant — useful for the resource-planning goal the problem statement actually asks for.</w:t>
      </w:r>
    </w:p>
    <w:p>
      <w:pPr>
        <w:pStyle w:val="Heading1"/>
        <w:pBdr>
          <w:bottom w:val="single" w:color="2E5395" w:sz="6" w:space="4"/>
        </w:pBdr>
        <w:spacing w:after="160" w:before="360"/>
      </w:pPr>
      <w:r>
        <w:rPr>
          <w:b/>
          <w:bCs/>
          <w:color w:val="1F3864"/>
          <w:sz w:val="28"/>
          <w:szCs w:val="28"/>
        </w:rPr>
        <w:t xml:space="preserve">7. Regulatory and Validation Language</w:t>
      </w:r>
    </w:p>
    <w:p>
      <w:pPr>
        <w:spacing w:after="160" w:line="276"/>
      </w:pPr>
      <w:r>
        <w:rPr>
          <w:sz w:val="21"/>
          <w:szCs w:val="21"/>
        </w:rPr>
        <w:t xml:space="preserve">Software that diagnoses referable DR and drives a referral decision is Class C Software as a Medical Device under CDSCO's Medical Device Rules, 2017 — which requires a Central Licensing Authority MD9 license and a full Clinical Evaluation Report, not retrospective testing on public datasets. Both reviews flagged the original pitch's “clinical validation rigor” claim as a factual overstatement for a hackathon prototype.</w:t>
      </w:r>
    </w:p>
    <w:p>
      <w:pPr>
        <w:spacing w:after="60" w:before="100"/>
      </w:pPr>
      <w:r>
        <w:rPr>
          <w:b/>
          <w:bCs/>
          <w:i/>
          <w:iCs/>
          <w:color w:val="595959"/>
          <w:sz w:val="20"/>
          <w:szCs w:val="20"/>
        </w:rPr>
        <w:t xml:space="preserve">Revised approach</w:t>
      </w:r>
    </w:p>
    <w:p>
      <w:pPr>
        <w:pStyle w:val="ListParagraph"/>
        <w:numPr>
          <w:ilvl w:val="0"/>
          <w:numId w:val="2"/>
        </w:numPr>
        <w:spacing w:after="80" w:line="270"/>
      </w:pPr>
      <w:r>
        <w:rPr>
          <w:sz w:val="21"/>
          <w:szCs w:val="21"/>
        </w:rPr>
        <w:t xml:space="preserve">Describe results as retrospective, in-silico performance evaluation on public benchmark datasets (IDRiD, APTOS 2019, Messidor-2) — never as “clinical validation.”</w:t>
      </w:r>
    </w:p>
    <w:p>
      <w:pPr>
        <w:pStyle w:val="ListParagraph"/>
        <w:numPr>
          <w:ilvl w:val="0"/>
          <w:numId w:val="2"/>
        </w:numPr>
        <w:spacing w:after="80" w:line="270"/>
      </w:pPr>
      <w:r>
        <w:rPr>
          <w:sz w:val="21"/>
          <w:szCs w:val="21"/>
        </w:rPr>
        <w:t xml:space="preserve">State the real path to deployment explicitly as future work: Form MD-22 application → Subject Expert Committee review → MD-23 permission → prospective clinical investigation at a registered site → MD-7/MD-9 licensing, a multi-month process outside hackathon scope.</w:t>
      </w:r>
    </w:p>
    <w:p>
      <w:pPr>
        <w:pStyle w:val="ListParagraph"/>
        <w:numPr>
          <w:ilvl w:val="0"/>
          <w:numId w:val="2"/>
        </w:numPr>
        <w:spacing w:after="80" w:line="270"/>
      </w:pPr>
      <w:r>
        <w:rPr>
          <w:sz w:val="21"/>
          <w:szCs w:val="21"/>
        </w:rPr>
        <w:t xml:space="preserve">Build DICOM de-identification (dicomanon, Medical Imaging Toolbox) into the edge pipeline before any data transmission, and treat DPDP/ABDM consent capture as a first-class pipeline step (see Section 6), not an afterthought.</w:t>
      </w:r>
    </w:p>
    <w:p>
      <w:pPr>
        <w:pStyle w:val="Heading1"/>
        <w:pBdr>
          <w:bottom w:val="single" w:color="2E5395" w:sz="6" w:space="4"/>
        </w:pBdr>
        <w:spacing w:after="160" w:before="360"/>
      </w:pPr>
      <w:r>
        <w:rPr>
          <w:b/>
          <w:bCs/>
          <w:color w:val="1F3864"/>
          <w:sz w:val="28"/>
          <w:szCs w:val="28"/>
        </w:rPr>
        <w:t xml:space="preserve">8. Realistic 36–48-Hour Build Plan</w:t>
      </w:r>
    </w:p>
    <w:p>
      <w:pPr>
        <w:spacing w:after="160" w:line="276"/>
      </w:pPr>
      <w:r>
        <w:rPr>
          <w:sz w:val="21"/>
          <w:szCs w:val="21"/>
        </w:rPr>
        <w:t xml:space="preserve">Both reviews independently concluded the original two-model, five-lesion-class pipeline could not be trained from scratch inside a hackathon window. The single shared-backbone MTL design (Section 3) approximately halves that compute burden; the remaining scope decisions below keep the build inside the window without misrepresenting what was actually validated.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4"/>
        <w:gridCol w:w="3640"/>
        <w:gridCol w:w="5196"/>
      </w:tblGrid>
      <w:tr>
        <w:trPr>
          <w:tblHeader/>
        </w:trPr>
        <w:tc>
          <w:tcPr>
            <w:tcW w:type="dxa" w:w="1244"/>
            <w:shd w:fill="1F3864" w:color="auto" w:val="clear"/>
            <w:tcMar>
              <w:top w:type="dxa" w:w="80"/>
              <w:left w:type="dxa" w:w="100"/>
              <w:bottom w:type="dxa" w:w="80"/>
              <w:right w:type="dxa" w:w="100"/>
            </w:tcMar>
          </w:tcPr>
          <w:p>
            <w:r>
              <w:rPr>
                <w:b/>
                <w:bCs/>
                <w:color w:val="FFFFFF"/>
                <w:sz w:val="19"/>
                <w:szCs w:val="19"/>
              </w:rPr>
              <w:t xml:space="preserve">Hours</w:t>
            </w:r>
          </w:p>
        </w:tc>
        <w:tc>
          <w:tcPr>
            <w:tcW w:type="dxa" w:w="3640"/>
            <w:shd w:fill="1F3864" w:color="auto" w:val="clear"/>
            <w:tcMar>
              <w:top w:type="dxa" w:w="80"/>
              <w:left w:type="dxa" w:w="100"/>
              <w:bottom w:type="dxa" w:w="80"/>
              <w:right w:type="dxa" w:w="100"/>
            </w:tcMar>
          </w:tcPr>
          <w:p>
            <w:r>
              <w:rPr>
                <w:b/>
                <w:bCs/>
                <w:color w:val="FFFFFF"/>
                <w:sz w:val="19"/>
                <w:szCs w:val="19"/>
              </w:rPr>
              <w:t xml:space="preserve">Milestone</w:t>
            </w:r>
          </w:p>
        </w:tc>
        <w:tc>
          <w:tcPr>
            <w:tcW w:type="dxa" w:w="5196"/>
            <w:shd w:fill="1F3864" w:color="auto" w:val="clear"/>
            <w:tcMar>
              <w:top w:type="dxa" w:w="80"/>
              <w:left w:type="dxa" w:w="100"/>
              <w:bottom w:type="dxa" w:w="80"/>
              <w:right w:type="dxa" w:w="100"/>
            </w:tcMar>
          </w:tcPr>
          <w:p>
            <w:r>
              <w:rPr>
                <w:b/>
                <w:bCs/>
                <w:color w:val="FFFFFF"/>
                <w:sz w:val="19"/>
                <w:szCs w:val="19"/>
              </w:rPr>
              <w:t xml:space="preserve">Scope decision</w:t>
            </w:r>
          </w:p>
        </w:tc>
      </w:tr>
      <w:tr>
        <w:trPr>
          <w:tblHeader w:val="false"/>
        </w:trPr>
        <w:tc>
          <w:tcPr>
            <w:tcW w:type="dxa" w:w="1244"/>
            <w:shd w:fill="FFFFFF" w:color="auto" w:val="clear"/>
            <w:tcMar>
              <w:top w:type="dxa" w:w="80"/>
              <w:left w:type="dxa" w:w="100"/>
              <w:bottom w:type="dxa" w:w="80"/>
              <w:right w:type="dxa" w:w="100"/>
            </w:tcMar>
          </w:tcPr>
          <w:p>
            <w:r>
              <w:rPr>
                <w:b w:val="false"/>
                <w:bCs w:val="false"/>
                <w:color w:val="000000"/>
                <w:sz w:val="18"/>
                <w:szCs w:val="18"/>
              </w:rPr>
              <w:t xml:space="preserve">0–6</w:t>
            </w:r>
          </w:p>
        </w:tc>
        <w:tc>
          <w:tcPr>
            <w:tcW w:type="dxa" w:w="3640"/>
            <w:shd w:fill="FFFFFF" w:color="auto" w:val="clear"/>
            <w:tcMar>
              <w:top w:type="dxa" w:w="80"/>
              <w:left w:type="dxa" w:w="100"/>
              <w:bottom w:type="dxa" w:w="80"/>
              <w:right w:type="dxa" w:w="100"/>
            </w:tcMar>
          </w:tcPr>
          <w:p>
            <w:r>
              <w:rPr>
                <w:b w:val="false"/>
                <w:bCs w:val="false"/>
                <w:color w:val="000000"/>
                <w:sz w:val="18"/>
                <w:szCs w:val="18"/>
              </w:rPr>
              <w:t xml:space="preserve">Data pipeline</w:t>
            </w:r>
          </w:p>
        </w:tc>
        <w:tc>
          <w:tcPr>
            <w:tcW w:type="dxa" w:w="5196"/>
            <w:shd w:fill="FFFFFF" w:color="auto" w:val="clear"/>
            <w:tcMar>
              <w:top w:type="dxa" w:w="80"/>
              <w:left w:type="dxa" w:w="100"/>
              <w:bottom w:type="dxa" w:w="80"/>
              <w:right w:type="dxa" w:w="100"/>
            </w:tcMar>
          </w:tcPr>
          <w:p>
            <w:r>
              <w:rPr>
                <w:b w:val="false"/>
                <w:bCs w:val="false"/>
                <w:color w:val="000000"/>
                <w:sz w:val="18"/>
                <w:szCs w:val="18"/>
              </w:rPr>
              <w:t xml:space="preserve">blockedImageDatastore over IDRiD + APTOS + Messidor-2; patch extraction; CLAHE/illumination pre-processing</w:t>
            </w:r>
          </w:p>
        </w:tc>
      </w:tr>
      <w:tr>
        <w:trPr>
          <w:tblHeader w:val="false"/>
        </w:trPr>
        <w:tc>
          <w:tcPr>
            <w:tcW w:type="dxa" w:w="1244"/>
            <w:shd w:fill="F2F2F2" w:color="auto" w:val="clear"/>
            <w:tcMar>
              <w:top w:type="dxa" w:w="80"/>
              <w:left w:type="dxa" w:w="100"/>
              <w:bottom w:type="dxa" w:w="80"/>
              <w:right w:type="dxa" w:w="100"/>
            </w:tcMar>
          </w:tcPr>
          <w:p>
            <w:r>
              <w:rPr>
                <w:b w:val="false"/>
                <w:bCs w:val="false"/>
                <w:color w:val="000000"/>
                <w:sz w:val="18"/>
                <w:szCs w:val="18"/>
              </w:rPr>
              <w:t xml:space="preserve">6–20</w:t>
            </w:r>
          </w:p>
        </w:tc>
        <w:tc>
          <w:tcPr>
            <w:tcW w:type="dxa" w:w="3640"/>
            <w:shd w:fill="F2F2F2" w:color="auto" w:val="clear"/>
            <w:tcMar>
              <w:top w:type="dxa" w:w="80"/>
              <w:left w:type="dxa" w:w="100"/>
              <w:bottom w:type="dxa" w:w="80"/>
              <w:right w:type="dxa" w:w="100"/>
            </w:tcMar>
          </w:tcPr>
          <w:p>
            <w:r>
              <w:rPr>
                <w:b w:val="false"/>
                <w:bCs w:val="false"/>
                <w:color w:val="000000"/>
                <w:sz w:val="18"/>
                <w:szCs w:val="18"/>
              </w:rPr>
              <w:t xml:space="preserve">MTL model training</w:t>
            </w:r>
          </w:p>
        </w:tc>
        <w:tc>
          <w:tcPr>
            <w:tcW w:type="dxa" w:w="5196"/>
            <w:shd w:fill="F2F2F2" w:color="auto" w:val="clear"/>
            <w:tcMar>
              <w:top w:type="dxa" w:w="80"/>
              <w:left w:type="dxa" w:w="100"/>
              <w:bottom w:type="dxa" w:w="80"/>
              <w:right w:type="dxa" w:w="100"/>
            </w:tcMar>
          </w:tcPr>
          <w:p>
            <w:r>
              <w:rPr>
                <w:b w:val="false"/>
                <w:bCs w:val="false"/>
                <w:color w:val="000000"/>
                <w:sz w:val="18"/>
                <w:szCs w:val="18"/>
              </w:rPr>
              <w:t xml:space="preserve">Pretrained EfficientNet-B0 backbone (imagePretrainedNetwork) fine-tuned with a custom dlnetwork training loop; segmentation + classification heads trained jointly</w:t>
            </w:r>
          </w:p>
        </w:tc>
      </w:tr>
      <w:tr>
        <w:trPr>
          <w:tblHeader w:val="false"/>
        </w:trPr>
        <w:tc>
          <w:tcPr>
            <w:tcW w:type="dxa" w:w="1244"/>
            <w:shd w:fill="FFFFFF" w:color="auto" w:val="clear"/>
            <w:tcMar>
              <w:top w:type="dxa" w:w="80"/>
              <w:left w:type="dxa" w:w="100"/>
              <w:bottom w:type="dxa" w:w="80"/>
              <w:right w:type="dxa" w:w="100"/>
            </w:tcMar>
          </w:tcPr>
          <w:p>
            <w:r>
              <w:rPr>
                <w:b w:val="false"/>
                <w:bCs w:val="false"/>
                <w:color w:val="000000"/>
                <w:sz w:val="18"/>
                <w:szCs w:val="18"/>
              </w:rPr>
              <w:t xml:space="preserve">20–28</w:t>
            </w:r>
          </w:p>
        </w:tc>
        <w:tc>
          <w:tcPr>
            <w:tcW w:type="dxa" w:w="3640"/>
            <w:shd w:fill="FFFFFF" w:color="auto" w:val="clear"/>
            <w:tcMar>
              <w:top w:type="dxa" w:w="80"/>
              <w:left w:type="dxa" w:w="100"/>
              <w:bottom w:type="dxa" w:w="80"/>
              <w:right w:type="dxa" w:w="100"/>
            </w:tcMar>
          </w:tcPr>
          <w:p>
            <w:r>
              <w:rPr>
                <w:b w:val="false"/>
                <w:bCs w:val="false"/>
                <w:color w:val="000000"/>
                <w:sz w:val="18"/>
                <w:szCs w:val="18"/>
              </w:rPr>
              <w:t xml:space="preserve">Explainability + reporting</w:t>
            </w:r>
          </w:p>
        </w:tc>
        <w:tc>
          <w:tcPr>
            <w:tcW w:type="dxa" w:w="5196"/>
            <w:shd w:fill="FFFFFF" w:color="auto" w:val="clear"/>
            <w:tcMar>
              <w:top w:type="dxa" w:w="80"/>
              <w:left w:type="dxa" w:w="100"/>
              <w:bottom w:type="dxa" w:w="80"/>
              <w:right w:type="dxa" w:w="100"/>
            </w:tcMar>
          </w:tcPr>
          <w:p>
            <w:r>
              <w:rPr>
                <w:b w:val="false"/>
                <w:bCs w:val="false"/>
                <w:color w:val="000000"/>
                <w:sz w:val="18"/>
                <w:szCs w:val="18"/>
              </w:rPr>
              <w:t xml:space="preserve">Lesion-count concept-bottleneck report generation, Grad-CAM overlay, calibrated confidence via temperature scaling, auto-PDF report</w:t>
            </w:r>
          </w:p>
        </w:tc>
      </w:tr>
      <w:tr>
        <w:trPr>
          <w:tblHeader w:val="false"/>
        </w:trPr>
        <w:tc>
          <w:tcPr>
            <w:tcW w:type="dxa" w:w="1244"/>
            <w:shd w:fill="F2F2F2" w:color="auto" w:val="clear"/>
            <w:tcMar>
              <w:top w:type="dxa" w:w="80"/>
              <w:left w:type="dxa" w:w="100"/>
              <w:bottom w:type="dxa" w:w="80"/>
              <w:right w:type="dxa" w:w="100"/>
            </w:tcMar>
          </w:tcPr>
          <w:p>
            <w:r>
              <w:rPr>
                <w:b w:val="false"/>
                <w:bCs w:val="false"/>
                <w:color w:val="000000"/>
                <w:sz w:val="18"/>
                <w:szCs w:val="18"/>
              </w:rPr>
              <w:t xml:space="preserve">28–36</w:t>
            </w:r>
          </w:p>
        </w:tc>
        <w:tc>
          <w:tcPr>
            <w:tcW w:type="dxa" w:w="3640"/>
            <w:shd w:fill="F2F2F2" w:color="auto" w:val="clear"/>
            <w:tcMar>
              <w:top w:type="dxa" w:w="80"/>
              <w:left w:type="dxa" w:w="100"/>
              <w:bottom w:type="dxa" w:w="80"/>
              <w:right w:type="dxa" w:w="100"/>
            </w:tcMar>
          </w:tcPr>
          <w:p>
            <w:r>
              <w:rPr>
                <w:b w:val="false"/>
                <w:bCs w:val="false"/>
                <w:color w:val="000000"/>
                <w:sz w:val="18"/>
                <w:szCs w:val="18"/>
              </w:rPr>
              <w:t xml:space="preserve">Simulink model</w:t>
            </w:r>
          </w:p>
        </w:tc>
        <w:tc>
          <w:tcPr>
            <w:tcW w:type="dxa" w:w="5196"/>
            <w:shd w:fill="F2F2F2" w:color="auto" w:val="clear"/>
            <w:tcMar>
              <w:top w:type="dxa" w:w="80"/>
              <w:left w:type="dxa" w:w="100"/>
              <w:bottom w:type="dxa" w:w="80"/>
              <w:right w:type="dxa" w:w="100"/>
            </w:tcMar>
          </w:tcPr>
          <w:p>
            <w:r>
              <w:rPr>
                <w:b w:val="false"/>
                <w:bCs w:val="false"/>
                <w:color w:val="000000"/>
                <w:sz w:val="18"/>
                <w:szCs w:val="18"/>
              </w:rPr>
              <w:t xml:space="preserve">SimEvents queue + Stateflow power/consent-delay states, parameterized from published rural-clinic throughput figures</w:t>
            </w:r>
          </w:p>
        </w:tc>
      </w:tr>
      <w:tr>
        <w:trPr>
          <w:tblHeader w:val="false"/>
        </w:trPr>
        <w:tc>
          <w:tcPr>
            <w:tcW w:type="dxa" w:w="1244"/>
            <w:shd w:fill="FFFFFF" w:color="auto" w:val="clear"/>
            <w:tcMar>
              <w:top w:type="dxa" w:w="80"/>
              <w:left w:type="dxa" w:w="100"/>
              <w:bottom w:type="dxa" w:w="80"/>
              <w:right w:type="dxa" w:w="100"/>
            </w:tcMar>
          </w:tcPr>
          <w:p>
            <w:r>
              <w:rPr>
                <w:b w:val="false"/>
                <w:bCs w:val="false"/>
                <w:color w:val="000000"/>
                <w:sz w:val="18"/>
                <w:szCs w:val="18"/>
              </w:rPr>
              <w:t xml:space="preserve">36–44</w:t>
            </w:r>
          </w:p>
        </w:tc>
        <w:tc>
          <w:tcPr>
            <w:tcW w:type="dxa" w:w="3640"/>
            <w:shd w:fill="FFFFFF" w:color="auto" w:val="clear"/>
            <w:tcMar>
              <w:top w:type="dxa" w:w="80"/>
              <w:left w:type="dxa" w:w="100"/>
              <w:bottom w:type="dxa" w:w="80"/>
              <w:right w:type="dxa" w:w="100"/>
            </w:tcMar>
          </w:tcPr>
          <w:p>
            <w:r>
              <w:rPr>
                <w:b w:val="false"/>
                <w:bCs w:val="false"/>
                <w:color w:val="000000"/>
                <w:sz w:val="18"/>
                <w:szCs w:val="18"/>
              </w:rPr>
              <w:t xml:space="preserve">Integration + validation</w:t>
            </w:r>
          </w:p>
        </w:tc>
        <w:tc>
          <w:tcPr>
            <w:tcW w:type="dxa" w:w="5196"/>
            <w:shd w:fill="FFFFFF" w:color="auto" w:val="clear"/>
            <w:tcMar>
              <w:top w:type="dxa" w:w="80"/>
              <w:left w:type="dxa" w:w="100"/>
              <w:bottom w:type="dxa" w:w="80"/>
              <w:right w:type="dxa" w:w="100"/>
            </w:tcMar>
          </w:tcPr>
          <w:p>
            <w:r>
              <w:rPr>
                <w:b w:val="false"/>
                <w:bCs w:val="false"/>
                <w:color w:val="000000"/>
                <w:sz w:val="18"/>
                <w:szCs w:val="18"/>
              </w:rPr>
              <w:t xml:space="preserve">End-to-end demo on held-out test split; report sensitivity/specificity honestly as retrospective benchmark numbers, with confidence intervals</w:t>
            </w:r>
          </w:p>
        </w:tc>
      </w:tr>
      <w:tr>
        <w:trPr>
          <w:tblHeader w:val="false"/>
        </w:trPr>
        <w:tc>
          <w:tcPr>
            <w:tcW w:type="dxa" w:w="1244"/>
            <w:shd w:fill="F2F2F2" w:color="auto" w:val="clear"/>
            <w:tcMar>
              <w:top w:type="dxa" w:w="80"/>
              <w:left w:type="dxa" w:w="100"/>
              <w:bottom w:type="dxa" w:w="80"/>
              <w:right w:type="dxa" w:w="100"/>
            </w:tcMar>
          </w:tcPr>
          <w:p>
            <w:r>
              <w:rPr>
                <w:b w:val="false"/>
                <w:bCs w:val="false"/>
                <w:color w:val="000000"/>
                <w:sz w:val="18"/>
                <w:szCs w:val="18"/>
              </w:rPr>
              <w:t xml:space="preserve">44–48</w:t>
            </w:r>
          </w:p>
        </w:tc>
        <w:tc>
          <w:tcPr>
            <w:tcW w:type="dxa" w:w="3640"/>
            <w:shd w:fill="F2F2F2" w:color="auto" w:val="clear"/>
            <w:tcMar>
              <w:top w:type="dxa" w:w="80"/>
              <w:left w:type="dxa" w:w="100"/>
              <w:bottom w:type="dxa" w:w="80"/>
              <w:right w:type="dxa" w:w="100"/>
            </w:tcMar>
          </w:tcPr>
          <w:p>
            <w:r>
              <w:rPr>
                <w:b w:val="false"/>
                <w:bCs w:val="false"/>
                <w:color w:val="000000"/>
                <w:sz w:val="18"/>
                <w:szCs w:val="18"/>
              </w:rPr>
              <w:t xml:space="preserve">Pitch + buffer</w:t>
            </w:r>
          </w:p>
        </w:tc>
        <w:tc>
          <w:tcPr>
            <w:tcW w:type="dxa" w:w="5196"/>
            <w:shd w:fill="F2F2F2" w:color="auto" w:val="clear"/>
            <w:tcMar>
              <w:top w:type="dxa" w:w="80"/>
              <w:left w:type="dxa" w:w="100"/>
              <w:bottom w:type="dxa" w:w="80"/>
              <w:right w:type="dxa" w:w="100"/>
            </w:tcMar>
          </w:tcPr>
          <w:p>
            <w:r>
              <w:rPr>
                <w:b w:val="false"/>
                <w:bCs w:val="false"/>
                <w:color w:val="000000"/>
                <w:sz w:val="18"/>
                <w:szCs w:val="18"/>
              </w:rPr>
              <w:t xml:space="preserve">Slides, demo rehearsal, contingency for training/debugging overruns</w:t>
            </w:r>
          </w:p>
        </w:tc>
      </w:tr>
    </w:tbl>
    <w:p>
      <w:pPr>
        <w:spacing w:after="160" w:line="276"/>
      </w:pPr>
      <w:r>
        <w:rPr>
          <w:sz w:val="21"/>
          <w:szCs w:val="21"/>
        </w:rPr>
        <w:t xml:space="preserve">This plan explicitly does not include real portable-camera fine-tuning or GPU Coder edge-deployment compilation within the hackathon window — both are named as immediate next steps in the pitch rather than claimed as already built, which is a more defensible position than quietly assuming they work.</w:t>
      </w:r>
    </w:p>
    <w:p>
      <w:pPr>
        <w:pStyle w:val="Heading1"/>
        <w:pBdr>
          <w:bottom w:val="single" w:color="2E5395" w:sz="6" w:space="4"/>
        </w:pBdr>
        <w:spacing w:after="160" w:before="360"/>
      </w:pPr>
      <w:r>
        <w:rPr>
          <w:b/>
          <w:bCs/>
          <w:color w:val="1F3864"/>
          <w:sz w:val="28"/>
          <w:szCs w:val="28"/>
        </w:rPr>
        <w:t xml:space="preserve">9. Summary of Changes from the Original Proposal</w:t>
      </w:r>
    </w:p>
    <w:p>
      <w:pPr>
        <w:spacing w:after="160" w:line="276"/>
      </w:pPr>
      <w:r>
        <w:rPr>
          <w:sz w:val="21"/>
          <w:szCs w:val="21"/>
        </w:rPr>
        <w:t xml:space="preserve">The table below maps every change back to the specific finding in the two independent reviews that motivated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78"/>
        <w:gridCol w:w="2761"/>
        <w:gridCol w:w="2761"/>
        <w:gridCol w:w="3080"/>
      </w:tblGrid>
      <w:tr>
        <w:trPr>
          <w:tblHeader/>
        </w:trPr>
        <w:tc>
          <w:tcPr>
            <w:tcW w:type="dxa" w:w="1478"/>
            <w:shd w:fill="1F3864" w:color="auto" w:val="clear"/>
            <w:tcMar>
              <w:top w:type="dxa" w:w="80"/>
              <w:left w:type="dxa" w:w="100"/>
              <w:bottom w:type="dxa" w:w="80"/>
              <w:right w:type="dxa" w:w="100"/>
            </w:tcMar>
          </w:tcPr>
          <w:p>
            <w:r>
              <w:rPr>
                <w:b/>
                <w:bCs/>
                <w:color w:val="FFFFFF"/>
                <w:sz w:val="19"/>
                <w:szCs w:val="19"/>
              </w:rPr>
              <w:t xml:space="preserve">Component</w:t>
            </w:r>
          </w:p>
        </w:tc>
        <w:tc>
          <w:tcPr>
            <w:tcW w:type="dxa" w:w="2761"/>
            <w:shd w:fill="1F3864" w:color="auto" w:val="clear"/>
            <w:tcMar>
              <w:top w:type="dxa" w:w="80"/>
              <w:left w:type="dxa" w:w="100"/>
              <w:bottom w:type="dxa" w:w="80"/>
              <w:right w:type="dxa" w:w="100"/>
            </w:tcMar>
          </w:tcPr>
          <w:p>
            <w:r>
              <w:rPr>
                <w:b/>
                <w:bCs/>
                <w:color w:val="FFFFFF"/>
                <w:sz w:val="19"/>
                <w:szCs w:val="19"/>
              </w:rPr>
              <w:t xml:space="preserve">Original Proposal</w:t>
            </w:r>
          </w:p>
        </w:tc>
        <w:tc>
          <w:tcPr>
            <w:tcW w:type="dxa" w:w="2761"/>
            <w:shd w:fill="1F3864" w:color="auto" w:val="clear"/>
            <w:tcMar>
              <w:top w:type="dxa" w:w="80"/>
              <w:left w:type="dxa" w:w="100"/>
              <w:bottom w:type="dxa" w:w="80"/>
              <w:right w:type="dxa" w:w="100"/>
            </w:tcMar>
          </w:tcPr>
          <w:p>
            <w:r>
              <w:rPr>
                <w:b/>
                <w:bCs/>
                <w:color w:val="FFFFFF"/>
                <w:sz w:val="19"/>
                <w:szCs w:val="19"/>
              </w:rPr>
              <w:t xml:space="preserve">Revised Design</w:t>
            </w:r>
          </w:p>
        </w:tc>
        <w:tc>
          <w:tcPr>
            <w:tcW w:type="dxa" w:w="3080"/>
            <w:shd w:fill="1F3864" w:color="auto" w:val="clear"/>
            <w:tcMar>
              <w:top w:type="dxa" w:w="80"/>
              <w:left w:type="dxa" w:w="100"/>
              <w:bottom w:type="dxa" w:w="80"/>
              <w:right w:type="dxa" w:w="100"/>
            </w:tcMar>
          </w:tcPr>
          <w:p>
            <w:r>
              <w:rPr>
                <w:b/>
                <w:bCs/>
                <w:color w:val="FFFFFF"/>
                <w:sz w:val="19"/>
                <w:szCs w:val="19"/>
              </w:rPr>
              <w:t xml:space="preserve">Why Changed</w:t>
            </w:r>
          </w:p>
        </w:tc>
      </w:tr>
      <w:tr>
        <w:trPr>
          <w:tblHeader w:val="false"/>
        </w:trPr>
        <w:tc>
          <w:tcPr>
            <w:tcW w:type="dxa" w:w="1478"/>
            <w:shd w:fill="FFFFFF" w:color="auto" w:val="clear"/>
            <w:tcMar>
              <w:top w:type="dxa" w:w="80"/>
              <w:left w:type="dxa" w:w="100"/>
              <w:bottom w:type="dxa" w:w="80"/>
              <w:right w:type="dxa" w:w="100"/>
            </w:tcMar>
          </w:tcPr>
          <w:p>
            <w:r>
              <w:rPr>
                <w:b w:val="false"/>
                <w:bCs w:val="false"/>
                <w:color w:val="000000"/>
                <w:sz w:val="18"/>
                <w:szCs w:val="18"/>
              </w:rPr>
              <w:t xml:space="preserve">Severity classifier input</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Full fundus image downsampled to 224–512px for EfficientNet/ResNet</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Native-resolution overlapping patches (blockedImage / blockedImageDatastore) fed to a shared encoder; patch scores aggregated to a global grade</w:t>
            </w:r>
          </w:p>
        </w:tc>
        <w:tc>
          <w:tcPr>
            <w:tcW w:type="dxa" w:w="3080"/>
            <w:shd w:fill="FFFFFF" w:color="auto" w:val="clear"/>
            <w:tcMar>
              <w:top w:type="dxa" w:w="80"/>
              <w:left w:type="dxa" w:w="100"/>
              <w:bottom w:type="dxa" w:w="80"/>
              <w:right w:type="dxa" w:w="100"/>
            </w:tcMar>
          </w:tcPr>
          <w:p>
            <w:r>
              <w:rPr>
                <w:b w:val="false"/>
                <w:bCs w:val="false"/>
                <w:color w:val="000000"/>
                <w:sz w:val="18"/>
                <w:szCs w:val="18"/>
              </w:rPr>
              <w:t xml:space="preserve">Both critique reports independently identified that downsampling a 3000–4000px fundus image by 4–8x aliases away microaneurysms and dot hemorrhages before the classifier ever sees them — the single biggest reason the &gt;90% sensitivity target was unreachable</w:t>
            </w:r>
          </w:p>
        </w:tc>
      </w:tr>
      <w:tr>
        <w:trPr>
          <w:tblHeader w:val="false"/>
        </w:trPr>
        <w:tc>
          <w:tcPr>
            <w:tcW w:type="dxa" w:w="1478"/>
            <w:shd w:fill="F2F2F2" w:color="auto" w:val="clear"/>
            <w:tcMar>
              <w:top w:type="dxa" w:w="80"/>
              <w:left w:type="dxa" w:w="100"/>
              <w:bottom w:type="dxa" w:w="80"/>
              <w:right w:type="dxa" w:w="100"/>
            </w:tcMar>
          </w:tcPr>
          <w:p>
            <w:r>
              <w:rPr>
                <w:b w:val="false"/>
                <w:bCs w:val="false"/>
                <w:color w:val="000000"/>
                <w:sz w:val="18"/>
                <w:szCs w:val="18"/>
              </w:rPr>
              <w:t xml:space="preserve">Segmentation vs. classification</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Two separate networks (U-Net + EfficientNet/ResNet ensemble) trained and run independently</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Single Multi-Task Learning (MTL) dlnetwork: shared EfficientNet-B0 encoder, one segmentation head, one classification head, joint Dice + cross-entropy loss</w:t>
            </w:r>
          </w:p>
        </w:tc>
        <w:tc>
          <w:tcPr>
            <w:tcW w:type="dxa" w:w="3080"/>
            <w:shd w:fill="F2F2F2" w:color="auto" w:val="clear"/>
            <w:tcMar>
              <w:top w:type="dxa" w:w="80"/>
              <w:left w:type="dxa" w:w="100"/>
              <w:bottom w:type="dxa" w:w="80"/>
              <w:right w:type="dxa" w:w="100"/>
            </w:tcMar>
          </w:tcPr>
          <w:p>
            <w:r>
              <w:rPr>
                <w:b w:val="false"/>
                <w:bCs w:val="false"/>
                <w:color w:val="000000"/>
                <w:sz w:val="18"/>
                <w:szCs w:val="18"/>
              </w:rPr>
              <w:t xml:space="preserve">Disjoint models mean the grading head never sees the lesion-level evidence; a shared backbone forces the classifier to condition on the same high-resolution features used for lesion segmentation, and roughly halves training/GPU time versus two independent networks</w:t>
            </w:r>
          </w:p>
        </w:tc>
      </w:tr>
      <w:tr>
        <w:trPr>
          <w:tblHeader w:val="false"/>
        </w:trPr>
        <w:tc>
          <w:tcPr>
            <w:tcW w:type="dxa" w:w="1478"/>
            <w:shd w:fill="FFFFFF" w:color="auto" w:val="clear"/>
            <w:tcMar>
              <w:top w:type="dxa" w:w="80"/>
              <w:left w:type="dxa" w:w="100"/>
              <w:bottom w:type="dxa" w:w="80"/>
              <w:right w:type="dxa" w:w="100"/>
            </w:tcMar>
          </w:tcPr>
          <w:p>
            <w:r>
              <w:rPr>
                <w:b w:val="false"/>
                <w:bCs w:val="false"/>
                <w:color w:val="000000"/>
                <w:sz w:val="18"/>
                <w:szCs w:val="18"/>
              </w:rPr>
              <w:t xml:space="preserve">Explainability logic</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Post-hoc “consistency-check” flag comparing U-Net output to ResNet grade after the fact</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Concept-bottleneck-style reporting: lesion counts/locations from the segmentation head are the primary evidence; severity is a function of that evidence; Grad-CAM is kept as a secondary, coarse sanity overlay only</w:t>
            </w:r>
          </w:p>
        </w:tc>
        <w:tc>
          <w:tcPr>
            <w:tcW w:type="dxa" w:w="3080"/>
            <w:shd w:fill="FFFFFF" w:color="auto" w:val="clear"/>
            <w:tcMar>
              <w:top w:type="dxa" w:w="80"/>
              <w:left w:type="dxa" w:w="100"/>
              <w:bottom w:type="dxa" w:w="80"/>
              <w:right w:type="dxa" w:w="100"/>
            </w:tcMar>
          </w:tcPr>
          <w:p>
            <w:r>
              <w:rPr>
                <w:b w:val="false"/>
                <w:bCs w:val="false"/>
                <w:color w:val="000000"/>
                <w:sz w:val="18"/>
                <w:szCs w:val="18"/>
              </w:rPr>
              <w:t xml:space="preserve">Both reports called the consistency check a hardcoded if/else band-aid rather than a learned mechanism — removing it (by making the architecture itself lesion-grounded) is more defensible to an ML judge than patching disagreement after the fact</w:t>
            </w:r>
          </w:p>
        </w:tc>
      </w:tr>
      <w:tr>
        <w:trPr>
          <w:tblHeader w:val="false"/>
        </w:trPr>
        <w:tc>
          <w:tcPr>
            <w:tcW w:type="dxa" w:w="1478"/>
            <w:shd w:fill="F2F2F2" w:color="auto" w:val="clear"/>
            <w:tcMar>
              <w:top w:type="dxa" w:w="80"/>
              <w:left w:type="dxa" w:w="100"/>
              <w:bottom w:type="dxa" w:w="80"/>
              <w:right w:type="dxa" w:w="100"/>
            </w:tcMar>
          </w:tcPr>
          <w:p>
            <w:r>
              <w:rPr>
                <w:b w:val="false"/>
                <w:bCs w:val="false"/>
                <w:color w:val="000000"/>
                <w:sz w:val="18"/>
                <w:szCs w:val="18"/>
              </w:rPr>
              <w:t xml:space="preserve">Image quality handling</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Classical-CV quality gate (focus/illumination/FOV) + CLAHE; reject and ask for recapture</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CLAHE/illumination-normalization kept only as a first-pass filter for truly ungradeable frames; borderline field images are passed through a lightweight CycleGAN-style domain-adaptation step that maps portable-camera appearance toward the clinical-camera domain the model was trained on, instead of being rejected</w:t>
            </w:r>
          </w:p>
        </w:tc>
        <w:tc>
          <w:tcPr>
            <w:tcW w:type="dxa" w:w="3080"/>
            <w:shd w:fill="F2F2F2" w:color="auto" w:val="clear"/>
            <w:tcMar>
              <w:top w:type="dxa" w:w="80"/>
              <w:left w:type="dxa" w:w="100"/>
              <w:bottom w:type="dxa" w:w="80"/>
              <w:right w:type="dxa" w:w="100"/>
            </w:tcMar>
          </w:tcPr>
          <w:p>
            <w:r>
              <w:rPr>
                <w:b w:val="false"/>
                <w:bCs w:val="false"/>
                <w:color w:val="000000"/>
                <w:sz w:val="18"/>
                <w:szCs w:val="18"/>
              </w:rPr>
              <w:t xml:space="preserve">The Google Health Thailand deployment (cited in both reports) rejected 20–30% of real field images with an identical reject/recapture design, and most rejected rural patients never returned — a hackathon prototype repeating that pattern is a known, documented failure mode, not a hypothetical risk</w:t>
            </w:r>
          </w:p>
        </w:tc>
      </w:tr>
      <w:tr>
        <w:trPr>
          <w:tblHeader w:val="false"/>
        </w:trPr>
        <w:tc>
          <w:tcPr>
            <w:tcW w:type="dxa" w:w="1478"/>
            <w:shd w:fill="FFFFFF" w:color="auto" w:val="clear"/>
            <w:tcMar>
              <w:top w:type="dxa" w:w="80"/>
              <w:left w:type="dxa" w:w="100"/>
              <w:bottom w:type="dxa" w:w="80"/>
              <w:right w:type="dxa" w:w="100"/>
            </w:tcMar>
          </w:tcPr>
          <w:p>
            <w:r>
              <w:rPr>
                <w:b w:val="false"/>
                <w:bCs w:val="false"/>
                <w:color w:val="000000"/>
                <w:sz w:val="18"/>
                <w:szCs w:val="18"/>
              </w:rPr>
              <w:t xml:space="preserve">Training data</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APTOS2019 + Messidor-2 + IDRiD only, all clinical-camera datasets</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Same three datasets for the base model (unavoidable given hackathon time), but explicitly scoped as an in-silico benchmark result; roadmap names a small (100–200 image) portable-camera fine-tuning set as the next step, mirroring published transfer-learning results that recovered ~90%+ sensitivity after such adaptation</w:t>
            </w:r>
          </w:p>
        </w:tc>
        <w:tc>
          <w:tcPr>
            <w:tcW w:type="dxa" w:w="3080"/>
            <w:shd w:fill="FFFFFF" w:color="auto" w:val="clear"/>
            <w:tcMar>
              <w:top w:type="dxa" w:w="80"/>
              <w:left w:type="dxa" w:w="100"/>
              <w:bottom w:type="dxa" w:w="80"/>
              <w:right w:type="dxa" w:w="100"/>
            </w:tcMar>
          </w:tcPr>
          <w:p>
            <w:r>
              <w:rPr>
                <w:b w:val="false"/>
                <w:bCs w:val="false"/>
                <w:color w:val="000000"/>
                <w:sz w:val="18"/>
                <w:szCs w:val="18"/>
              </w:rPr>
              <w:t xml:space="preserve">Neither report found a way to add real portable-camera training data inside 48 hours — the honest fix is to stop implying the reported accuracy will hold in the field, not to pretend the data gap is solved</w:t>
            </w:r>
          </w:p>
        </w:tc>
      </w:tr>
      <w:tr>
        <w:trPr>
          <w:tblHeader w:val="false"/>
        </w:trPr>
        <w:tc>
          <w:tcPr>
            <w:tcW w:type="dxa" w:w="1478"/>
            <w:shd w:fill="F2F2F2" w:color="auto" w:val="clear"/>
            <w:tcMar>
              <w:top w:type="dxa" w:w="80"/>
              <w:left w:type="dxa" w:w="100"/>
              <w:bottom w:type="dxa" w:w="80"/>
              <w:right w:type="dxa" w:w="100"/>
            </w:tcMar>
          </w:tcPr>
          <w:p>
            <w:r>
              <w:rPr>
                <w:b w:val="false"/>
                <w:bCs w:val="false"/>
                <w:color w:val="000000"/>
                <w:sz w:val="18"/>
                <w:szCs w:val="18"/>
              </w:rPr>
              <w:t xml:space="preserve">Telemedicine data flow</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Fundus images uploaded over constrained mobile bandwidth to a central server for AI processing</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Inference runs on-device (GPU Coder → CUDA/TensorRT executable on a Jetson Nano/Orin at the camera); only the compressed report, lesion overlay, and grade are transmitted</w:t>
            </w:r>
          </w:p>
        </w:tc>
        <w:tc>
          <w:tcPr>
            <w:tcW w:type="dxa" w:w="3080"/>
            <w:shd w:fill="F2F2F2" w:color="auto" w:val="clear"/>
            <w:tcMar>
              <w:top w:type="dxa" w:w="80"/>
              <w:left w:type="dxa" w:w="100"/>
              <w:bottom w:type="dxa" w:w="80"/>
              <w:right w:type="dxa" w:w="100"/>
            </w:tcMar>
          </w:tcPr>
          <w:p>
            <w:r>
              <w:rPr>
                <w:b w:val="false"/>
                <w:bCs w:val="false"/>
                <w:color w:val="000000"/>
                <w:sz w:val="18"/>
                <w:szCs w:val="18"/>
              </w:rPr>
              <w:t xml:space="preserve">Removes the network-upload bottleneck that both reports flagged as unmodeled, and sidesteps most of the ABDM/DPDP cloud-transmission consent burden for the inference step itself, since raw patient imagery never has to leave the device</w:t>
            </w:r>
          </w:p>
        </w:tc>
      </w:tr>
      <w:tr>
        <w:trPr>
          <w:tblHeader w:val="false"/>
        </w:trPr>
        <w:tc>
          <w:tcPr>
            <w:tcW w:type="dxa" w:w="1478"/>
            <w:shd w:fill="FFFFFF" w:color="auto" w:val="clear"/>
            <w:tcMar>
              <w:top w:type="dxa" w:w="80"/>
              <w:left w:type="dxa" w:w="100"/>
              <w:bottom w:type="dxa" w:w="80"/>
              <w:right w:type="dxa" w:w="100"/>
            </w:tcMar>
          </w:tcPr>
          <w:p>
            <w:r>
              <w:rPr>
                <w:b w:val="false"/>
                <w:bCs w:val="false"/>
                <w:color w:val="000000"/>
                <w:sz w:val="18"/>
                <w:szCs w:val="18"/>
              </w:rPr>
              <w:t xml:space="preserve">Simulink model</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M/M/1-style queue: capture rate → bandwidth-constrained upload → processing → reviewer queue</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SimEvents queue extended with: Stateflow-modeled power-outage / battery-discharge states (Simscape Battery), stochastic network-loss events for the (now much smaller) report upload, and an explicit discrete-event delay for ABDM/DEPA consent-artifact generation before any data leaves the site</w:t>
            </w:r>
          </w:p>
        </w:tc>
        <w:tc>
          <w:tcPr>
            <w:tcW w:type="dxa" w:w="3080"/>
            <w:shd w:fill="FFFFFF" w:color="auto" w:val="clear"/>
            <w:tcMar>
              <w:top w:type="dxa" w:w="80"/>
              <w:left w:type="dxa" w:w="100"/>
              <w:bottom w:type="dxa" w:w="80"/>
              <w:right w:type="dxa" w:w="100"/>
            </w:tcMar>
          </w:tcPr>
          <w:p>
            <w:r>
              <w:rPr>
                <w:b w:val="false"/>
                <w:bCs w:val="false"/>
                <w:color w:val="000000"/>
                <w:sz w:val="18"/>
                <w:szCs w:val="18"/>
              </w:rPr>
              <w:t xml:space="preserve">Both reports singled out power outages, network intermittency, and consent workflow as unmodeled but decisive factors in real Indian rural throughput — a capacity model that ignores them will size staffing/hardware wrong</w:t>
            </w:r>
          </w:p>
        </w:tc>
      </w:tr>
      <w:tr>
        <w:trPr>
          <w:tblHeader w:val="false"/>
        </w:trPr>
        <w:tc>
          <w:tcPr>
            <w:tcW w:type="dxa" w:w="1478"/>
            <w:shd w:fill="F2F2F2" w:color="auto" w:val="clear"/>
            <w:tcMar>
              <w:top w:type="dxa" w:w="80"/>
              <w:left w:type="dxa" w:w="100"/>
              <w:bottom w:type="dxa" w:w="80"/>
              <w:right w:type="dxa" w:w="100"/>
            </w:tcMar>
          </w:tcPr>
          <w:p>
            <w:r>
              <w:rPr>
                <w:b w:val="false"/>
                <w:bCs w:val="false"/>
                <w:color w:val="000000"/>
                <w:sz w:val="18"/>
                <w:szCs w:val="18"/>
              </w:rPr>
              <w:t xml:space="preserve">Regulatory / validation language</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Pitch claims “clinical validation rigor” and that the pipeline “outperforms any single technique approach”</w:t>
            </w:r>
          </w:p>
        </w:tc>
        <w:tc>
          <w:tcPr>
            <w:tcW w:type="dxa" w:w="2761"/>
            <w:shd w:fill="F2F2F2" w:color="auto" w:val="clear"/>
            <w:tcMar>
              <w:top w:type="dxa" w:w="80"/>
              <w:left w:type="dxa" w:w="100"/>
              <w:bottom w:type="dxa" w:w="80"/>
              <w:right w:type="dxa" w:w="100"/>
            </w:tcMar>
          </w:tcPr>
          <w:p>
            <w:r>
              <w:rPr>
                <w:b w:val="false"/>
                <w:bCs w:val="false"/>
                <w:color w:val="000000"/>
                <w:sz w:val="18"/>
                <w:szCs w:val="18"/>
              </w:rPr>
              <w:t xml:space="preserve">Reframed as “retrospective performance evaluation on public benchmark datasets (IDRiD/APTOS/Messidor-2), positioned as a pre-clinical prototype” with an explicit CDSCO Class C roadmap (Form MD-22 → MD-23 → prospective trial) named as future work, plus dicomanon-based de-identification built into the edge pipeline</w:t>
            </w:r>
          </w:p>
        </w:tc>
        <w:tc>
          <w:tcPr>
            <w:tcW w:type="dxa" w:w="3080"/>
            <w:shd w:fill="F2F2F2" w:color="auto" w:val="clear"/>
            <w:tcMar>
              <w:top w:type="dxa" w:w="80"/>
              <w:left w:type="dxa" w:w="100"/>
              <w:bottom w:type="dxa" w:w="80"/>
              <w:right w:type="dxa" w:w="100"/>
            </w:tcMar>
          </w:tcPr>
          <w:p>
            <w:r>
              <w:rPr>
                <w:b w:val="false"/>
                <w:bCs w:val="false"/>
                <w:color w:val="000000"/>
                <w:sz w:val="18"/>
                <w:szCs w:val="18"/>
              </w:rPr>
              <w:t xml:space="preserve">Software that diagnoses referable DR is CDSCO Class C SaMD in India; claiming “clinical validation” for a 48-hour hackathon prototype is a factual and regulatory overstatement that a clinical judge will penalize on sight</w:t>
            </w:r>
          </w:p>
        </w:tc>
      </w:tr>
      <w:tr>
        <w:trPr>
          <w:tblHeader w:val="false"/>
        </w:trPr>
        <w:tc>
          <w:tcPr>
            <w:tcW w:type="dxa" w:w="1478"/>
            <w:shd w:fill="FFFFFF" w:color="auto" w:val="clear"/>
            <w:tcMar>
              <w:top w:type="dxa" w:w="80"/>
              <w:left w:type="dxa" w:w="100"/>
              <w:bottom w:type="dxa" w:w="80"/>
              <w:right w:type="dxa" w:w="100"/>
            </w:tcMar>
          </w:tcPr>
          <w:p>
            <w:r>
              <w:rPr>
                <w:b w:val="false"/>
                <w:bCs w:val="false"/>
                <w:color w:val="000000"/>
                <w:sz w:val="18"/>
                <w:szCs w:val="18"/>
              </w:rPr>
              <w:t xml:space="preserve">Framing of “sub-pixel” detection</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Literal claim of sub-pixel microaneurysm detection</w:t>
            </w:r>
          </w:p>
        </w:tc>
        <w:tc>
          <w:tcPr>
            <w:tcW w:type="dxa" w:w="2761"/>
            <w:shd w:fill="FFFFFF" w:color="auto" w:val="clear"/>
            <w:tcMar>
              <w:top w:type="dxa" w:w="80"/>
              <w:left w:type="dxa" w:w="100"/>
              <w:bottom w:type="dxa" w:w="80"/>
              <w:right w:type="dxa" w:w="100"/>
            </w:tcMar>
          </w:tcPr>
          <w:p>
            <w:r>
              <w:rPr>
                <w:b w:val="false"/>
                <w:bCs w:val="false"/>
                <w:color w:val="000000"/>
                <w:sz w:val="18"/>
                <w:szCs w:val="18"/>
              </w:rPr>
              <w:t xml:space="preserve">Reframed as sub-lesion-scale detection via native-resolution overlapping patches (no downsampling loss) — the honest ceiling given no super-resolution stage is proposed</w:t>
            </w:r>
          </w:p>
        </w:tc>
        <w:tc>
          <w:tcPr>
            <w:tcW w:type="dxa" w:w="3080"/>
            <w:shd w:fill="FFFFFF" w:color="auto" w:val="clear"/>
            <w:tcMar>
              <w:top w:type="dxa" w:w="80"/>
              <w:left w:type="dxa" w:w="100"/>
              <w:bottom w:type="dxa" w:w="80"/>
              <w:right w:type="dxa" w:w="100"/>
            </w:tcMar>
          </w:tcPr>
          <w:p>
            <w:r>
              <w:rPr>
                <w:b w:val="false"/>
                <w:bCs w:val="false"/>
                <w:color w:val="000000"/>
                <w:sz w:val="18"/>
                <w:szCs w:val="18"/>
              </w:rPr>
              <w:t xml:space="preserve">Sub-pixel resolution below the sensor's own pixel pitch is not achievable by a segmentation network without a super-resolution stage; repeating the problem statement's own wording without qualification invites an easy technical objection</w:t>
            </w:r>
          </w:p>
        </w:tc>
      </w:tr>
    </w:tbl>
    <w:p>
      <w:pPr>
        <w:pStyle w:val="Heading1"/>
        <w:pBdr>
          <w:bottom w:val="single" w:color="2E5395" w:sz="6" w:space="4"/>
        </w:pBdr>
        <w:spacing w:after="160" w:before="360"/>
      </w:pPr>
      <w:r>
        <w:rPr>
          <w:b/>
          <w:bCs/>
          <w:color w:val="1F3864"/>
          <w:sz w:val="28"/>
          <w:szCs w:val="28"/>
        </w:rPr>
        <w:t xml:space="preserve">10. Residual Limitations (Stated Honestly)</w:t>
      </w:r>
    </w:p>
    <w:p>
      <w:pPr>
        <w:spacing w:after="160" w:line="276"/>
      </w:pPr>
      <w:r>
        <w:rPr>
          <w:sz w:val="21"/>
          <w:szCs w:val="21"/>
        </w:rPr>
        <w:t xml:space="preserve">This revision closes the failure modes both reviews identified, but does not manufacture certainty the team does not have. The following limitations remain and should be stated in the pitch rather than glossed over:</w:t>
      </w:r>
    </w:p>
    <w:p>
      <w:pPr>
        <w:pStyle w:val="ListParagraph"/>
        <w:numPr>
          <w:ilvl w:val="0"/>
          <w:numId w:val="2"/>
        </w:numPr>
        <w:spacing w:after="80" w:line="270"/>
      </w:pPr>
      <w:r>
        <w:rPr>
          <w:sz w:val="21"/>
          <w:szCs w:val="21"/>
        </w:rPr>
        <w:t xml:space="preserve">No portable-camera images are in the training data even after this revision — domain adaptation narrows the gap, it does not close it, and reported sensitivity/specificity will be a laboratory-conditions ceiling, not a field guarantee.</w:t>
      </w:r>
    </w:p>
    <w:p>
      <w:pPr>
        <w:pStyle w:val="ListParagraph"/>
        <w:numPr>
          <w:ilvl w:val="0"/>
          <w:numId w:val="2"/>
        </w:numPr>
        <w:spacing w:after="80" w:line="270"/>
      </w:pPr>
      <w:r>
        <w:rPr>
          <w:sz w:val="21"/>
          <w:szCs w:val="21"/>
        </w:rPr>
        <w:t xml:space="preserve">“Sub-pixel” detection remains physically unachievable without a super-resolution stage, which is out of scope for the hackathon build; the pitch should use “sub-lesion-scale, native-resolution” language instead of repeating the problem statement's literal phrasing.</w:t>
      </w:r>
    </w:p>
    <w:p>
      <w:pPr>
        <w:pStyle w:val="ListParagraph"/>
        <w:numPr>
          <w:ilvl w:val="0"/>
          <w:numId w:val="2"/>
        </w:numPr>
        <w:spacing w:after="80" w:line="270"/>
      </w:pPr>
      <w:r>
        <w:rPr>
          <w:sz w:val="21"/>
          <w:szCs w:val="21"/>
        </w:rPr>
        <w:t xml:space="preserve">GPU Coder edge compilation and on-device deployment are proposed but not demonstrated within the 48-hour window — the demo will show inference in MATLAB/Simulink, not on physical Jetson hardware, unless additional time is found.</w:t>
      </w:r>
    </w:p>
    <w:p>
      <w:pPr>
        <w:pStyle w:val="ListParagraph"/>
        <w:numPr>
          <w:ilvl w:val="0"/>
          <w:numId w:val="2"/>
        </w:numPr>
        <w:spacing w:after="80" w:line="270"/>
      </w:pPr>
      <w:r>
        <w:rPr>
          <w:sz w:val="21"/>
          <w:szCs w:val="21"/>
        </w:rPr>
        <w:t xml:space="preserve">“Clinical validation” is not and cannot be claimed for this prototype; only retrospective benchmark performance can be reported, with the CDSCO pathway named as future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2026-09-01T17:00:26.637Z</dcterms:created>
  <dcterms:modified xsi:type="dcterms:W3CDTF">2026-09-01T17:00:26.637Z</dcterms:modified>
</cp:coreProperties>
</file>

<file path=docProps/custom.xml><?xml version="1.0" encoding="utf-8"?>
<Properties xmlns="http://schemas.openxmlformats.org/officeDocument/2006/custom-properties" xmlns:vt="http://schemas.openxmlformats.org/officeDocument/2006/docPropsVTypes"/>
</file>