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EC78" w14:textId="77777777" w:rsidR="00E610C8" w:rsidRDefault="00E610C8" w:rsidP="00E610C8">
      <w:pPr>
        <w:pStyle w:val="NormalWeb"/>
        <w:shd w:val="clear" w:color="auto" w:fill="FFFFFF"/>
        <w:spacing w:before="0" w:beforeAutospacing="0"/>
        <w:jc w:val="both"/>
        <w:rPr>
          <w:rFonts w:ascii="Arial" w:hAnsi="Arial" w:cs="Arial"/>
          <w:color w:val="383737"/>
          <w:sz w:val="26"/>
          <w:szCs w:val="26"/>
        </w:rPr>
      </w:pPr>
      <w:r>
        <w:rPr>
          <w:rFonts w:ascii="Arial" w:hAnsi="Arial" w:cs="Arial"/>
          <w:color w:val="383737"/>
          <w:sz w:val="26"/>
          <w:szCs w:val="26"/>
        </w:rPr>
        <w:t>The scalability of an application is the measure of the number of client requests it can simultaneously handle. When a hardware resource runs out and can no longer handle requests, it is counted as the limit of scalability. When this limit of the resource is reached, the application can no longer handle additional requests. To efficiently handle additional requests, administrators should scale the infrastructure by adding more resources such as RAM, CPU, storage, network devices, etc. Horizontal and vertical scaling are the two methods implemented by administrators for capacity planning.</w:t>
      </w:r>
    </w:p>
    <w:p w14:paraId="6A2394D3" w14:textId="77777777" w:rsidR="00E610C8" w:rsidRDefault="00E610C8" w:rsidP="00E610C8">
      <w:pPr>
        <w:pStyle w:val="NormalWeb"/>
        <w:shd w:val="clear" w:color="auto" w:fill="FFFFFF"/>
        <w:spacing w:before="0" w:beforeAutospacing="0"/>
        <w:jc w:val="both"/>
        <w:rPr>
          <w:rFonts w:ascii="Arial" w:hAnsi="Arial" w:cs="Arial"/>
          <w:color w:val="383737"/>
          <w:sz w:val="26"/>
          <w:szCs w:val="26"/>
        </w:rPr>
      </w:pPr>
      <w:r>
        <w:rPr>
          <w:rFonts w:ascii="Arial" w:hAnsi="Arial" w:cs="Arial"/>
          <w:color w:val="383737"/>
          <w:sz w:val="26"/>
          <w:szCs w:val="26"/>
        </w:rPr>
        <w:t>Scalability is a crucial requirement of a cloud environment. You need to dynamically increase or decrease IT capacity or size to meet changing business IT requirements and manage unexpected traffic spikes. It will reduce latency and improve performance while preventing downtimes.</w:t>
      </w:r>
    </w:p>
    <w:p w14:paraId="798510A6" w14:textId="77777777" w:rsidR="00E610C8" w:rsidRDefault="00E610C8" w:rsidP="00E610C8">
      <w:pPr>
        <w:pStyle w:val="NormalWeb"/>
        <w:shd w:val="clear" w:color="auto" w:fill="FFFFFF"/>
        <w:spacing w:before="0" w:beforeAutospacing="0"/>
        <w:jc w:val="both"/>
      </w:pPr>
      <w:r>
        <w:t>Scaling of two types</w:t>
      </w:r>
    </w:p>
    <w:p w14:paraId="2A2AA14E" w14:textId="77777777" w:rsidR="00E610C8" w:rsidRDefault="00E610C8" w:rsidP="00E610C8">
      <w:pPr>
        <w:pStyle w:val="NormalWeb"/>
        <w:shd w:val="clear" w:color="auto" w:fill="FFFFFF"/>
        <w:spacing w:before="0" w:beforeAutospacing="0"/>
        <w:jc w:val="both"/>
      </w:pPr>
      <w:r>
        <w:sym w:font="Wingdings" w:char="F0E0"/>
      </w:r>
      <w:r>
        <w:t>Vertical scaling</w:t>
      </w:r>
    </w:p>
    <w:p w14:paraId="51A5CF5B" w14:textId="407AEDAA" w:rsidR="00E610C8" w:rsidRDefault="00E610C8" w:rsidP="00E610C8">
      <w:pPr>
        <w:pStyle w:val="NormalWeb"/>
        <w:shd w:val="clear" w:color="auto" w:fill="FFFFFF"/>
        <w:spacing w:before="0" w:beforeAutospacing="0"/>
        <w:jc w:val="both"/>
      </w:pPr>
      <w:r>
        <w:sym w:font="Wingdings" w:char="F0E0"/>
      </w:r>
      <w:r>
        <w:t>Horizontal Scaling</w:t>
      </w:r>
    </w:p>
    <w:p w14:paraId="3D88C83E" w14:textId="1ADFA48F" w:rsidR="00E610C8" w:rsidRDefault="00E610C8" w:rsidP="00E610C8">
      <w:pPr>
        <w:pStyle w:val="NormalWeb"/>
        <w:shd w:val="clear" w:color="auto" w:fill="FFFFFF"/>
        <w:spacing w:before="0" w:beforeAutospacing="0"/>
        <w:jc w:val="both"/>
        <w:rPr>
          <w:rFonts w:ascii="Arial" w:hAnsi="Arial" w:cs="Arial"/>
          <w:color w:val="383737"/>
          <w:sz w:val="26"/>
          <w:szCs w:val="26"/>
          <w:shd w:val="clear" w:color="auto" w:fill="FFFFFF"/>
        </w:rPr>
      </w:pPr>
      <w:r>
        <w:rPr>
          <w:rFonts w:ascii="Arial" w:hAnsi="Arial" w:cs="Arial"/>
          <w:color w:val="383737"/>
          <w:sz w:val="26"/>
          <w:szCs w:val="26"/>
          <w:shd w:val="clear" w:color="auto" w:fill="FFFFFF"/>
        </w:rPr>
        <w:t>Horizontal Scaling</w:t>
      </w:r>
    </w:p>
    <w:p w14:paraId="07BE1F4F" w14:textId="75F7C68B" w:rsidR="00E610C8" w:rsidRDefault="00E610C8" w:rsidP="00E610C8">
      <w:pPr>
        <w:pStyle w:val="NormalWeb"/>
        <w:shd w:val="clear" w:color="auto" w:fill="FFFFFF"/>
        <w:spacing w:before="0" w:beforeAutospacing="0"/>
        <w:jc w:val="both"/>
        <w:rPr>
          <w:rFonts w:ascii="Arial" w:hAnsi="Arial" w:cs="Arial"/>
          <w:color w:val="383737"/>
          <w:sz w:val="26"/>
          <w:szCs w:val="26"/>
          <w:shd w:val="clear" w:color="auto" w:fill="FFFFFF"/>
        </w:rPr>
      </w:pPr>
      <w:r w:rsidRPr="00E610C8">
        <w:rPr>
          <w:rFonts w:ascii="Arial" w:hAnsi="Arial" w:cs="Arial"/>
          <w:color w:val="383737"/>
          <w:sz w:val="26"/>
          <w:szCs w:val="26"/>
          <w:shd w:val="clear" w:color="auto" w:fill="FFFFFF"/>
        </w:rPr>
        <w:sym w:font="Wingdings" w:char="F0E0"/>
      </w:r>
      <w:r>
        <w:rPr>
          <w:rFonts w:ascii="Arial" w:hAnsi="Arial" w:cs="Arial"/>
          <w:color w:val="383737"/>
          <w:sz w:val="26"/>
          <w:szCs w:val="26"/>
          <w:shd w:val="clear" w:color="auto" w:fill="FFFFFF"/>
        </w:rPr>
        <w:t xml:space="preserve">Horizontal scaling is an approach of adding more devices to the infrastructure to increase the capacity and efficiently handle increasing traffic demands. </w:t>
      </w:r>
    </w:p>
    <w:p w14:paraId="46FC570E" w14:textId="10B8C0BE" w:rsidR="00E610C8" w:rsidRDefault="00E610C8" w:rsidP="00E610C8">
      <w:pPr>
        <w:pStyle w:val="NormalWeb"/>
        <w:shd w:val="clear" w:color="auto" w:fill="FFFFFF"/>
        <w:spacing w:before="0" w:beforeAutospacing="0"/>
        <w:jc w:val="both"/>
        <w:rPr>
          <w:rFonts w:ascii="Arial" w:hAnsi="Arial" w:cs="Arial"/>
          <w:color w:val="383737"/>
          <w:sz w:val="26"/>
          <w:szCs w:val="26"/>
          <w:shd w:val="clear" w:color="auto" w:fill="FFFFFF"/>
        </w:rPr>
      </w:pPr>
      <w:r w:rsidRPr="00E610C8">
        <w:rPr>
          <w:rFonts w:ascii="Arial" w:hAnsi="Arial" w:cs="Arial"/>
          <w:color w:val="383737"/>
          <w:sz w:val="26"/>
          <w:szCs w:val="26"/>
          <w:shd w:val="clear" w:color="auto" w:fill="FFFFFF"/>
        </w:rPr>
        <w:sym w:font="Wingdings" w:char="F0E0"/>
      </w:r>
      <w:r>
        <w:rPr>
          <w:rFonts w:ascii="Arial" w:hAnsi="Arial" w:cs="Arial"/>
          <w:color w:val="383737"/>
          <w:sz w:val="26"/>
          <w:szCs w:val="26"/>
          <w:shd w:val="clear" w:color="auto" w:fill="FFFFFF"/>
        </w:rPr>
        <w:t>H</w:t>
      </w:r>
      <w:r>
        <w:rPr>
          <w:rFonts w:ascii="Arial" w:hAnsi="Arial" w:cs="Arial"/>
          <w:color w:val="383737"/>
          <w:sz w:val="26"/>
          <w:szCs w:val="26"/>
          <w:shd w:val="clear" w:color="auto" w:fill="FFFFFF"/>
        </w:rPr>
        <w:t>orizontal scaling is about expanding the capacity horizontally by adding extra servers. The load and processing power are shared among multiple servers within a system using a load balancer. It is also called scaling out.</w:t>
      </w:r>
    </w:p>
    <w:p w14:paraId="33E5EF10" w14:textId="6A626712" w:rsidR="007F35CD" w:rsidRDefault="007F35CD" w:rsidP="00E610C8">
      <w:pPr>
        <w:pStyle w:val="NormalWeb"/>
        <w:shd w:val="clear" w:color="auto" w:fill="FFFFFF"/>
        <w:spacing w:before="0" w:beforeAutospacing="0"/>
        <w:jc w:val="both"/>
        <w:rPr>
          <w:rFonts w:ascii="Arial" w:hAnsi="Arial" w:cs="Arial"/>
          <w:color w:val="383737"/>
          <w:sz w:val="26"/>
          <w:szCs w:val="26"/>
          <w:shd w:val="clear" w:color="auto" w:fill="FFFFFF"/>
        </w:rPr>
      </w:pPr>
      <w:r>
        <w:rPr>
          <w:rFonts w:ascii="Arial" w:hAnsi="Arial" w:cs="Arial"/>
          <w:color w:val="383737"/>
          <w:sz w:val="26"/>
          <w:szCs w:val="26"/>
          <w:shd w:val="clear" w:color="auto" w:fill="FFFFFF"/>
        </w:rPr>
        <w:t>Vertical Scaling</w:t>
      </w:r>
    </w:p>
    <w:p w14:paraId="1AC6F4BE" w14:textId="704ED79D" w:rsidR="00E610C8" w:rsidRDefault="007F35CD" w:rsidP="00E610C8">
      <w:pPr>
        <w:pStyle w:val="NormalWeb"/>
        <w:shd w:val="clear" w:color="auto" w:fill="FFFFFF"/>
        <w:spacing w:before="0" w:beforeAutospacing="0"/>
        <w:jc w:val="both"/>
        <w:rPr>
          <w:rFonts w:ascii="Arial" w:hAnsi="Arial" w:cs="Arial"/>
          <w:color w:val="383737"/>
          <w:sz w:val="26"/>
          <w:szCs w:val="26"/>
          <w:shd w:val="clear" w:color="auto" w:fill="FFFFFF"/>
        </w:rPr>
      </w:pPr>
      <w:r w:rsidRPr="007F35CD">
        <w:rPr>
          <w:rFonts w:ascii="Arial" w:hAnsi="Arial" w:cs="Arial"/>
          <w:color w:val="383737"/>
          <w:sz w:val="26"/>
          <w:szCs w:val="26"/>
          <w:shd w:val="clear" w:color="auto" w:fill="FFFFFF"/>
        </w:rPr>
        <w:sym w:font="Wingdings" w:char="F0E0"/>
      </w:r>
      <w:r>
        <w:rPr>
          <w:rFonts w:ascii="Arial" w:hAnsi="Arial" w:cs="Arial"/>
          <w:color w:val="383737"/>
          <w:sz w:val="26"/>
          <w:szCs w:val="26"/>
          <w:shd w:val="clear" w:color="auto" w:fill="FFFFFF"/>
        </w:rPr>
        <w:t>Vertical scaling is a type of scalability wherein more computing and processing power is added to a machine to increase its performance. Also called scale-up, vertical scaling allows you to increase the machine’s capacity while maintaining resources within the same logical unit. The processor, memory, storage, and network capacity are increased in this approach.</w:t>
      </w:r>
    </w:p>
    <w:p w14:paraId="2E3D050E" w14:textId="0050EB66" w:rsidR="00E610C8" w:rsidRDefault="00E610C8" w:rsidP="00E610C8">
      <w:pPr>
        <w:pStyle w:val="NormalWeb"/>
        <w:shd w:val="clear" w:color="auto" w:fill="FFFFFF"/>
        <w:spacing w:before="0" w:beforeAutospacing="0"/>
        <w:jc w:val="both"/>
        <w:rPr>
          <w:rFonts w:ascii="Arial" w:hAnsi="Arial" w:cs="Arial"/>
          <w:color w:val="383737"/>
          <w:sz w:val="26"/>
          <w:szCs w:val="26"/>
        </w:rPr>
      </w:pPr>
    </w:p>
    <w:tbl>
      <w:tblPr>
        <w:tblpPr w:leftFromText="180" w:rightFromText="180" w:horzAnchor="margin" w:tblpXSpec="center" w:tblpY="-11520"/>
        <w:tblW w:w="9657" w:type="dxa"/>
        <w:shd w:val="clear" w:color="auto" w:fill="FFFFFF"/>
        <w:tblCellMar>
          <w:top w:w="15" w:type="dxa"/>
          <w:left w:w="15" w:type="dxa"/>
          <w:bottom w:w="15" w:type="dxa"/>
          <w:right w:w="15" w:type="dxa"/>
        </w:tblCellMar>
        <w:tblLook w:val="04A0" w:firstRow="1" w:lastRow="0" w:firstColumn="1" w:lastColumn="0" w:noHBand="0" w:noVBand="1"/>
      </w:tblPr>
      <w:tblGrid>
        <w:gridCol w:w="2755"/>
        <w:gridCol w:w="3158"/>
        <w:gridCol w:w="3744"/>
      </w:tblGrid>
      <w:tr w:rsidR="007F35CD" w:rsidRPr="007F35CD" w14:paraId="081FE2D0" w14:textId="77777777" w:rsidTr="007F35CD">
        <w:trPr>
          <w:trHeight w:val="613"/>
        </w:trPr>
        <w:tc>
          <w:tcPr>
            <w:tcW w:w="0" w:type="auto"/>
            <w:shd w:val="clear" w:color="auto" w:fill="EEEEEE"/>
            <w:tcMar>
              <w:top w:w="225" w:type="dxa"/>
              <w:left w:w="225" w:type="dxa"/>
              <w:bottom w:w="225" w:type="dxa"/>
              <w:right w:w="225" w:type="dxa"/>
            </w:tcMar>
            <w:hideMark/>
          </w:tcPr>
          <w:p w14:paraId="3F2DF3CF"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lastRenderedPageBreak/>
              <w:t>Vertical Vs Horizontal Scaling</w:t>
            </w:r>
          </w:p>
        </w:tc>
        <w:tc>
          <w:tcPr>
            <w:tcW w:w="0" w:type="auto"/>
            <w:shd w:val="clear" w:color="auto" w:fill="EEEEEE"/>
            <w:tcMar>
              <w:top w:w="225" w:type="dxa"/>
              <w:left w:w="225" w:type="dxa"/>
              <w:bottom w:w="225" w:type="dxa"/>
              <w:right w:w="225" w:type="dxa"/>
            </w:tcMar>
            <w:hideMark/>
          </w:tcPr>
          <w:p w14:paraId="60EF2E34"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Vertical scaling</w:t>
            </w:r>
          </w:p>
        </w:tc>
        <w:tc>
          <w:tcPr>
            <w:tcW w:w="0" w:type="auto"/>
            <w:shd w:val="clear" w:color="auto" w:fill="EEEEEE"/>
            <w:tcMar>
              <w:top w:w="225" w:type="dxa"/>
              <w:left w:w="225" w:type="dxa"/>
              <w:bottom w:w="225" w:type="dxa"/>
              <w:right w:w="225" w:type="dxa"/>
            </w:tcMar>
            <w:hideMark/>
          </w:tcPr>
          <w:p w14:paraId="52CC7135"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Horizontal Scaling</w:t>
            </w:r>
          </w:p>
        </w:tc>
      </w:tr>
      <w:tr w:rsidR="007F35CD" w:rsidRPr="007F35CD" w14:paraId="151DB010" w14:textId="77777777" w:rsidTr="007F35CD">
        <w:trPr>
          <w:trHeight w:val="623"/>
        </w:trPr>
        <w:tc>
          <w:tcPr>
            <w:tcW w:w="0" w:type="auto"/>
            <w:shd w:val="clear" w:color="auto" w:fill="FFFFFF"/>
            <w:tcMar>
              <w:top w:w="225" w:type="dxa"/>
              <w:left w:w="225" w:type="dxa"/>
              <w:bottom w:w="225" w:type="dxa"/>
              <w:right w:w="225" w:type="dxa"/>
            </w:tcMar>
            <w:hideMark/>
          </w:tcPr>
          <w:p w14:paraId="4A4CEFE6"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Data</w:t>
            </w:r>
          </w:p>
        </w:tc>
        <w:tc>
          <w:tcPr>
            <w:tcW w:w="0" w:type="auto"/>
            <w:shd w:val="clear" w:color="auto" w:fill="FFFFFF"/>
            <w:tcMar>
              <w:top w:w="225" w:type="dxa"/>
              <w:left w:w="225" w:type="dxa"/>
              <w:bottom w:w="225" w:type="dxa"/>
              <w:right w:w="225" w:type="dxa"/>
            </w:tcMar>
            <w:hideMark/>
          </w:tcPr>
          <w:p w14:paraId="049C1616"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Data is executed on a single node</w:t>
            </w:r>
          </w:p>
        </w:tc>
        <w:tc>
          <w:tcPr>
            <w:tcW w:w="0" w:type="auto"/>
            <w:shd w:val="clear" w:color="auto" w:fill="FFFFFF"/>
            <w:tcMar>
              <w:top w:w="225" w:type="dxa"/>
              <w:left w:w="225" w:type="dxa"/>
              <w:bottom w:w="225" w:type="dxa"/>
              <w:right w:w="225" w:type="dxa"/>
            </w:tcMar>
            <w:hideMark/>
          </w:tcPr>
          <w:p w14:paraId="73080110"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Data is partitioned and executed on multiple nodes</w:t>
            </w:r>
          </w:p>
        </w:tc>
      </w:tr>
      <w:tr w:rsidR="007F35CD" w:rsidRPr="007F35CD" w14:paraId="133AE917" w14:textId="77777777" w:rsidTr="007F35CD">
        <w:trPr>
          <w:trHeight w:val="613"/>
        </w:trPr>
        <w:tc>
          <w:tcPr>
            <w:tcW w:w="0" w:type="auto"/>
            <w:shd w:val="clear" w:color="auto" w:fill="EEEEEE"/>
            <w:tcMar>
              <w:top w:w="225" w:type="dxa"/>
              <w:left w:w="225" w:type="dxa"/>
              <w:bottom w:w="225" w:type="dxa"/>
              <w:right w:w="225" w:type="dxa"/>
            </w:tcMar>
            <w:hideMark/>
          </w:tcPr>
          <w:p w14:paraId="2EF802FF"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Data Management</w:t>
            </w:r>
          </w:p>
        </w:tc>
        <w:tc>
          <w:tcPr>
            <w:tcW w:w="0" w:type="auto"/>
            <w:shd w:val="clear" w:color="auto" w:fill="EEEEEE"/>
            <w:tcMar>
              <w:top w:w="225" w:type="dxa"/>
              <w:left w:w="225" w:type="dxa"/>
              <w:bottom w:w="225" w:type="dxa"/>
              <w:right w:w="225" w:type="dxa"/>
            </w:tcMar>
            <w:hideMark/>
          </w:tcPr>
          <w:p w14:paraId="7B97B86A"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Easy to manage – share data reference</w:t>
            </w:r>
          </w:p>
        </w:tc>
        <w:tc>
          <w:tcPr>
            <w:tcW w:w="0" w:type="auto"/>
            <w:shd w:val="clear" w:color="auto" w:fill="EEEEEE"/>
            <w:tcMar>
              <w:top w:w="225" w:type="dxa"/>
              <w:left w:w="225" w:type="dxa"/>
              <w:bottom w:w="225" w:type="dxa"/>
              <w:right w:w="225" w:type="dxa"/>
            </w:tcMar>
            <w:hideMark/>
          </w:tcPr>
          <w:p w14:paraId="068ABB2A"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Complex task as there is no shared address space</w:t>
            </w:r>
          </w:p>
        </w:tc>
      </w:tr>
      <w:tr w:rsidR="007F35CD" w:rsidRPr="007F35CD" w14:paraId="23A2E04E" w14:textId="77777777" w:rsidTr="007F35CD">
        <w:trPr>
          <w:trHeight w:val="623"/>
        </w:trPr>
        <w:tc>
          <w:tcPr>
            <w:tcW w:w="0" w:type="auto"/>
            <w:shd w:val="clear" w:color="auto" w:fill="FFFFFF"/>
            <w:tcMar>
              <w:top w:w="225" w:type="dxa"/>
              <w:left w:w="225" w:type="dxa"/>
              <w:bottom w:w="225" w:type="dxa"/>
              <w:right w:w="225" w:type="dxa"/>
            </w:tcMar>
            <w:hideMark/>
          </w:tcPr>
          <w:p w14:paraId="560CDEFC"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Downtime</w:t>
            </w:r>
          </w:p>
        </w:tc>
        <w:tc>
          <w:tcPr>
            <w:tcW w:w="0" w:type="auto"/>
            <w:shd w:val="clear" w:color="auto" w:fill="FFFFFF"/>
            <w:tcMar>
              <w:top w:w="225" w:type="dxa"/>
              <w:left w:w="225" w:type="dxa"/>
              <w:bottom w:w="225" w:type="dxa"/>
              <w:right w:w="225" w:type="dxa"/>
            </w:tcMar>
            <w:hideMark/>
          </w:tcPr>
          <w:p w14:paraId="46D35C43"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Downtime while upgrading the machine</w:t>
            </w:r>
          </w:p>
        </w:tc>
        <w:tc>
          <w:tcPr>
            <w:tcW w:w="0" w:type="auto"/>
            <w:shd w:val="clear" w:color="auto" w:fill="FFFFFF"/>
            <w:tcMar>
              <w:top w:w="225" w:type="dxa"/>
              <w:left w:w="225" w:type="dxa"/>
              <w:bottom w:w="225" w:type="dxa"/>
              <w:right w:w="225" w:type="dxa"/>
            </w:tcMar>
            <w:hideMark/>
          </w:tcPr>
          <w:p w14:paraId="358753B4"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No downtime</w:t>
            </w:r>
          </w:p>
        </w:tc>
      </w:tr>
      <w:tr w:rsidR="007F35CD" w:rsidRPr="007F35CD" w14:paraId="428D4058" w14:textId="77777777" w:rsidTr="007F35CD">
        <w:trPr>
          <w:trHeight w:val="398"/>
        </w:trPr>
        <w:tc>
          <w:tcPr>
            <w:tcW w:w="0" w:type="auto"/>
            <w:shd w:val="clear" w:color="auto" w:fill="EEEEEE"/>
            <w:tcMar>
              <w:top w:w="225" w:type="dxa"/>
              <w:left w:w="225" w:type="dxa"/>
              <w:bottom w:w="225" w:type="dxa"/>
              <w:right w:w="225" w:type="dxa"/>
            </w:tcMar>
            <w:hideMark/>
          </w:tcPr>
          <w:p w14:paraId="3A83E7DA"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Upper limit</w:t>
            </w:r>
          </w:p>
        </w:tc>
        <w:tc>
          <w:tcPr>
            <w:tcW w:w="0" w:type="auto"/>
            <w:shd w:val="clear" w:color="auto" w:fill="EEEEEE"/>
            <w:tcMar>
              <w:top w:w="225" w:type="dxa"/>
              <w:left w:w="225" w:type="dxa"/>
              <w:bottom w:w="225" w:type="dxa"/>
              <w:right w:w="225" w:type="dxa"/>
            </w:tcMar>
            <w:hideMark/>
          </w:tcPr>
          <w:p w14:paraId="71627607"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Limited by machine specifications</w:t>
            </w:r>
          </w:p>
        </w:tc>
        <w:tc>
          <w:tcPr>
            <w:tcW w:w="0" w:type="auto"/>
            <w:shd w:val="clear" w:color="auto" w:fill="EEEEEE"/>
            <w:tcMar>
              <w:top w:w="225" w:type="dxa"/>
              <w:left w:w="225" w:type="dxa"/>
              <w:bottom w:w="225" w:type="dxa"/>
              <w:right w:w="225" w:type="dxa"/>
            </w:tcMar>
            <w:hideMark/>
          </w:tcPr>
          <w:p w14:paraId="6956D098"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Not limited by machine specifications</w:t>
            </w:r>
          </w:p>
        </w:tc>
      </w:tr>
      <w:tr w:rsidR="007F35CD" w:rsidRPr="007F35CD" w14:paraId="1DE20439" w14:textId="77777777" w:rsidTr="007F35CD">
        <w:trPr>
          <w:trHeight w:val="398"/>
        </w:trPr>
        <w:tc>
          <w:tcPr>
            <w:tcW w:w="0" w:type="auto"/>
            <w:shd w:val="clear" w:color="auto" w:fill="E9E9E9"/>
            <w:tcMar>
              <w:top w:w="225" w:type="dxa"/>
              <w:left w:w="225" w:type="dxa"/>
              <w:bottom w:w="225" w:type="dxa"/>
              <w:right w:w="225" w:type="dxa"/>
            </w:tcMar>
            <w:hideMark/>
          </w:tcPr>
          <w:p w14:paraId="3FEA43BD"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b/>
                <w:bCs/>
                <w:color w:val="383737"/>
                <w:lang w:eastAsia="en-IN"/>
              </w:rPr>
              <w:t>Cost</w:t>
            </w:r>
          </w:p>
        </w:tc>
        <w:tc>
          <w:tcPr>
            <w:tcW w:w="0" w:type="auto"/>
            <w:shd w:val="clear" w:color="auto" w:fill="E9E9E9"/>
            <w:tcMar>
              <w:top w:w="225" w:type="dxa"/>
              <w:left w:w="225" w:type="dxa"/>
              <w:bottom w:w="225" w:type="dxa"/>
              <w:right w:w="225" w:type="dxa"/>
            </w:tcMar>
            <w:hideMark/>
          </w:tcPr>
          <w:p w14:paraId="19358659"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Lower licensing fee</w:t>
            </w:r>
          </w:p>
        </w:tc>
        <w:tc>
          <w:tcPr>
            <w:tcW w:w="0" w:type="auto"/>
            <w:shd w:val="clear" w:color="auto" w:fill="E9E9E9"/>
            <w:tcMar>
              <w:top w:w="225" w:type="dxa"/>
              <w:left w:w="225" w:type="dxa"/>
              <w:bottom w:w="225" w:type="dxa"/>
              <w:right w:w="225" w:type="dxa"/>
            </w:tcMar>
            <w:hideMark/>
          </w:tcPr>
          <w:p w14:paraId="356FD242" w14:textId="77777777" w:rsidR="007F35CD" w:rsidRPr="007F35CD" w:rsidRDefault="007F35CD" w:rsidP="007F35CD">
            <w:pPr>
              <w:spacing w:after="225" w:line="240" w:lineRule="auto"/>
              <w:jc w:val="center"/>
              <w:rPr>
                <w:rFonts w:ascii="Arial" w:eastAsia="Times New Roman" w:hAnsi="Arial" w:cs="Arial"/>
                <w:color w:val="383737"/>
                <w:lang w:eastAsia="en-IN"/>
              </w:rPr>
            </w:pPr>
            <w:r w:rsidRPr="007F35CD">
              <w:rPr>
                <w:rFonts w:ascii="Arial" w:eastAsia="Times New Roman" w:hAnsi="Arial" w:cs="Arial"/>
                <w:color w:val="383737"/>
                <w:lang w:eastAsia="en-IN"/>
              </w:rPr>
              <w:t>Higher licensing fee</w:t>
            </w:r>
          </w:p>
        </w:tc>
      </w:tr>
    </w:tbl>
    <w:p w14:paraId="6B8B133D" w14:textId="4BA7D4A0" w:rsidR="007F35CD" w:rsidRDefault="007F35CD" w:rsidP="00E610C8">
      <w:pPr>
        <w:pStyle w:val="NormalWeb"/>
        <w:shd w:val="clear" w:color="auto" w:fill="FFFFFF"/>
        <w:spacing w:before="0" w:beforeAutospacing="0"/>
        <w:jc w:val="both"/>
        <w:rPr>
          <w:rFonts w:ascii="Arial" w:hAnsi="Arial" w:cs="Arial"/>
          <w:color w:val="383737"/>
          <w:sz w:val="26"/>
          <w:szCs w:val="26"/>
        </w:rPr>
      </w:pPr>
    </w:p>
    <w:p w14:paraId="0094CCA7" w14:textId="77777777" w:rsidR="007F35CD" w:rsidRPr="00E610C8" w:rsidRDefault="007F35CD" w:rsidP="00E610C8">
      <w:pPr>
        <w:pStyle w:val="NormalWeb"/>
        <w:shd w:val="clear" w:color="auto" w:fill="FFFFFF"/>
        <w:spacing w:before="0" w:beforeAutospacing="0"/>
        <w:jc w:val="both"/>
        <w:rPr>
          <w:rFonts w:ascii="Arial" w:hAnsi="Arial" w:cs="Arial"/>
          <w:color w:val="383737"/>
          <w:sz w:val="26"/>
          <w:szCs w:val="26"/>
        </w:rPr>
      </w:pPr>
    </w:p>
    <w:sectPr w:rsidR="007F35CD" w:rsidRPr="00E6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D9"/>
    <w:rsid w:val="007F35CD"/>
    <w:rsid w:val="00C457D9"/>
    <w:rsid w:val="00E610C8"/>
    <w:rsid w:val="00FF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8EE4"/>
  <w15:chartTrackingRefBased/>
  <w15:docId w15:val="{8A8EB819-FC7B-4E29-B207-7853C53F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3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5230">
      <w:bodyDiv w:val="1"/>
      <w:marLeft w:val="0"/>
      <w:marRight w:val="0"/>
      <w:marTop w:val="0"/>
      <w:marBottom w:val="0"/>
      <w:divBdr>
        <w:top w:val="none" w:sz="0" w:space="0" w:color="auto"/>
        <w:left w:val="none" w:sz="0" w:space="0" w:color="auto"/>
        <w:bottom w:val="none" w:sz="0" w:space="0" w:color="auto"/>
        <w:right w:val="none" w:sz="0" w:space="0" w:color="auto"/>
      </w:divBdr>
    </w:div>
    <w:div w:id="7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2022-07-14T18:08:00Z</dcterms:created>
  <dcterms:modified xsi:type="dcterms:W3CDTF">2022-07-14T18:26:00Z</dcterms:modified>
</cp:coreProperties>
</file>