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60" w:before="80"/>
        <w:jc w:val="left"/>
      </w:pPr>
      <w:r>
        <w:rPr>
          <w:rFonts w:ascii="Consolas" w:cs="Consolas" w:eastAsia="Consolas" w:hAnsi="Consolas"/>
          <w:b w:val="false"/>
          <w:bCs w:val="false"/>
          <w:color w:val="B8893F"/>
          <w:spacing w:val="60"/>
          <w:sz w:val="14"/>
          <w:szCs w:val="14"/>
        </w:rPr>
        <w:t xml:space="preserve">KINCAID IQ · V4 CONSTITUTION</w:t>
      </w:r>
    </w:p>
    <w:p>
      <w:pPr>
        <w:spacing w:after="40" w:before="80"/>
      </w:pPr>
      <w:r>
        <w:rPr>
          <w:rFonts w:ascii="Helvetica Neue" w:cs="Helvetica Neue" w:eastAsia="Helvetica Neue" w:hAnsi="Helvetica Neue"/>
          <w:b/>
          <w:bCs/>
          <w:color w:val="1A1A1A"/>
          <w:sz w:val="96"/>
          <w:szCs w:val="96"/>
        </w:rPr>
        <w:t xml:space="preserve">The Architecture</w:t>
      </w:r>
    </w:p>
    <w:p>
      <w:pPr>
        <w:spacing w:after="320" w:before="0"/>
      </w:pPr>
      <w:r>
        <w:rPr>
          <w:rFonts w:ascii="Helvetica Neue" w:cs="Helvetica Neue" w:eastAsia="Helvetica Neue" w:hAnsi="Helvetica Neue"/>
          <w:b/>
          <w:bCs/>
          <w:i/>
          <w:iCs/>
          <w:color w:val="B8893F"/>
          <w:sz w:val="96"/>
          <w:szCs w:val="96"/>
        </w:rPr>
        <w:t xml:space="preserve">of Receipts.</w:t>
      </w:r>
    </w:p>
    <w:p>
      <w:pPr>
        <w:spacing w:after="120" w:before="80" w:line="320"/>
        <w:jc w:val="left"/>
      </w:pPr>
      <w:r>
        <w:rPr>
          <w:rFonts w:ascii="Garamond" w:cs="Garamond" w:eastAsia="Garamond" w:hAnsi="Garamond"/>
          <w:i/>
          <w:iCs/>
          <w:color w:val="1A1A1A"/>
          <w:sz w:val="22"/>
          <w:szCs w:val="22"/>
        </w:rPr>
        <w:t xml:space="preserve">A working monograph on the operating systems and modules that comprise the Kincaid IQ platform — written in the academic register of MIT systems engineering and Stanford strategic management, framed for the product-grade reader.</w:t>
      </w:r>
    </w:p>
    <w:p>
      <w:pPr>
        <w:spacing w:after="280" w:before="280"/>
      </w:pPr>
      <w:r>
        <w:t xml:space="preserve"/>
      </w:r>
    </w:p>
    <w:p>
      <w:pPr>
        <w:pBdr>
          <w:bottom w:val="single" w:color="B8893F" w:sz="6" w:space="1"/>
        </w:pBdr>
        <w:spacing w:after="80" w:before="8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 COMPENDIUM · EDITION V10.4</w:t>
      </w:r>
    </w:p>
    <w:p>
      <w:pPr>
        <w:spacing w:after="80" w:before="160"/>
      </w:pPr>
      <w:r>
        <w:rPr>
          <w:rFonts w:ascii="Garamond" w:cs="Garamond" w:eastAsia="Garamond" w:hAnsi="Garamond"/>
          <w:color w:val="1A1A1A"/>
          <w:sz w:val="24"/>
          <w:szCs w:val="24"/>
        </w:rPr>
        <w:t xml:space="preserve">22 operating systems  ·  160 documented modules  ·  3 architectural layers</w:t>
      </w:r>
    </w:p>
    <w:p>
      <w:pPr>
        <w:spacing w:after="800" w:before="800"/>
      </w:pPr>
      <w:r>
        <w:t xml:space="preserve"/>
      </w:r>
    </w:p>
    <w:p>
      <w:pPr>
        <w:spacing w:after="40" w:before="80"/>
      </w:pPr>
      <w:r>
        <w:rPr>
          <w:rFonts w:ascii="Helvetica Neue" w:cs="Helvetica Neue" w:eastAsia="Helvetica Neue" w:hAnsi="Helvetica Neue"/>
          <w:b/>
          <w:bCs/>
          <w:color w:val="1A1A1A"/>
          <w:sz w:val="28"/>
          <w:szCs w:val="28"/>
        </w:rPr>
        <w:t xml:space="preserve">Jeremiah Franklin Shrack</w:t>
      </w:r>
    </w:p>
    <w:p>
      <w:pPr>
        <w:spacing w:after="40" w:before="0"/>
      </w:pPr>
      <w:r>
        <w:rPr>
          <w:rFonts w:ascii="Garamond" w:cs="Garamond" w:eastAsia="Garamond" w:hAnsi="Garamond"/>
          <w:i/>
          <w:iCs/>
          <w:color w:val="5C5C5C"/>
          <w:sz w:val="22"/>
          <w:szCs w:val="22"/>
        </w:rPr>
        <w:t xml:space="preserve">CEO &amp; Chairman</w:t>
      </w:r>
    </w:p>
    <w:p>
      <w:pPr>
        <w:spacing w:after="40" w:before="60"/>
      </w:pPr>
      <w:r>
        <w:rPr>
          <w:rFonts w:ascii="Consolas" w:cs="Consolas" w:eastAsia="Consolas" w:hAnsi="Consolas"/>
          <w:color w:val="5C5C5C"/>
          <w:sz w:val="18"/>
          <w:szCs w:val="18"/>
        </w:rPr>
        <w:t xml:space="preserve">SiriusB iQ  ·  Kincaid IQ  ·  Kincaid RMC</w:t>
      </w:r>
    </w:p>
    <w:p>
      <w:pPr>
        <w:spacing w:after="0" w:before="0"/>
      </w:pPr>
      <w:r>
        <w:rPr>
          <w:rFonts w:ascii="Consolas" w:cs="Consolas" w:eastAsia="Consolas" w:hAnsi="Consolas"/>
          <w:color w:val="5C5C5C"/>
          <w:sz w:val="18"/>
          <w:szCs w:val="18"/>
        </w:rPr>
        <w:t xml:space="preserve">Carmel, Indiana</w:t>
      </w:r>
    </w:p>
    <w:p>
      <w:r>
        <w:br w:type="page"/>
      </w:r>
    </w:p>
    <w:p>
      <w:pPr>
        <w:spacing w:after="60" w:before="80"/>
        <w:jc w:val="left"/>
      </w:pPr>
      <w:r>
        <w:rPr>
          <w:rFonts w:ascii="Consolas" w:cs="Consolas" w:eastAsia="Consolas" w:hAnsi="Consolas"/>
          <w:b w:val="false"/>
          <w:bCs w:val="false"/>
          <w:color w:val="B8893F"/>
          <w:spacing w:val="60"/>
          <w:sz w:val="14"/>
          <w:szCs w:val="14"/>
        </w:rPr>
        <w:t xml:space="preserve">CONSTITUTIONAL DOCTRINE</w:t>
      </w:r>
    </w:p>
    <w:p>
      <w:pPr>
        <w:spacing w:after="120" w:before="120"/>
        <w:jc w:val="left"/>
      </w:pPr>
      <w:r>
        <w:rPr>
          <w:rFonts w:ascii="Helvetica Neue" w:cs="Helvetica Neue" w:eastAsia="Helvetica Neue" w:hAnsi="Helvetica Neue"/>
          <w:b/>
          <w:bCs/>
          <w:color w:val="1A1A1A"/>
          <w:sz w:val="56"/>
          <w:szCs w:val="56"/>
        </w:rPr>
        <w:t xml:space="preserve">Four Hard Rules</w:t>
      </w:r>
    </w:p>
    <w:p>
      <w:pPr>
        <w:pBdr>
          <w:bottom w:val="single" w:color="B8893F" w:sz="6" w:space="1"/>
        </w:pBdr>
        <w:spacing w:after="80" w:before="80"/>
      </w:pPr>
      <w:r>
        <w:t xml:space="preserve"/>
      </w:r>
    </w:p>
    <w:p>
      <w:pPr>
        <w:spacing w:after="120" w:before="120"/>
      </w:pPr>
      <w:r>
        <w:t xml:space="preserve"/>
      </w:r>
    </w:p>
    <w:p>
      <w:pPr>
        <w:spacing w:after="80" w:before="60" w:line="300"/>
        <w:jc w:val="both"/>
      </w:pPr>
      <w:r>
        <w:rPr>
          <w:rFonts w:ascii="Garamond" w:cs="Garamond" w:eastAsia="Garamond" w:hAnsi="Garamond"/>
          <w:color w:val="1A1A1A"/>
          <w:sz w:val="22"/>
          <w:szCs w:val="22"/>
        </w:rPr>
        <w:t xml:space="preserve">The platform's discipline reduces to four invariants. They are not aspirations; they are runtime properties of the architecture, enforced by the modules documented in this monograph. They are stated here, in the front matter, because every operating system that follows exists to honor them.</w:t>
      </w:r>
    </w:p>
    <w:p>
      <w:pPr>
        <w:spacing w:after="200" w:before="200"/>
      </w:pPr>
      <w:r>
        <w:t xml:space="preserve"/>
      </w:r>
    </w:p>
    <w:p>
      <w:pPr>
        <w:spacing w:after="80" w:before="80" w:line="320"/>
        <w:ind w:left="720"/>
      </w:pPr>
      <w:r>
        <w:rPr>
          <w:rFonts w:ascii="Consolas" w:cs="Consolas" w:eastAsia="Consolas" w:hAnsi="Consolas"/>
          <w:b/>
          <w:bCs/>
          <w:color w:val="B8893F"/>
          <w:sz w:val="22"/>
          <w:szCs w:val="22"/>
        </w:rPr>
        <w:t xml:space="preserve">I.   </w:t>
      </w:r>
      <w:r>
        <w:rPr>
          <w:rFonts w:ascii="Garamond" w:cs="Garamond" w:eastAsia="Garamond" w:hAnsi="Garamond"/>
          <w:i/>
          <w:iCs/>
          <w:color w:val="1A1A1A"/>
          <w:sz w:val="24"/>
          <w:szCs w:val="24"/>
        </w:rPr>
        <w:t xml:space="preserve">One screen, four tiles always.</w:t>
      </w:r>
    </w:p>
    <w:p>
      <w:pPr>
        <w:spacing w:after="80" w:before="80" w:line="320"/>
        <w:ind w:left="720"/>
      </w:pPr>
      <w:r>
        <w:rPr>
          <w:rFonts w:ascii="Consolas" w:cs="Consolas" w:eastAsia="Consolas" w:hAnsi="Consolas"/>
          <w:b/>
          <w:bCs/>
          <w:color w:val="B8893F"/>
          <w:sz w:val="22"/>
          <w:szCs w:val="22"/>
        </w:rPr>
        <w:t xml:space="preserve">II.  </w:t>
      </w:r>
      <w:r>
        <w:rPr>
          <w:rFonts w:ascii="Garamond" w:cs="Garamond" w:eastAsia="Garamond" w:hAnsi="Garamond"/>
          <w:i/>
          <w:iCs/>
          <w:color w:val="1A1A1A"/>
          <w:sz w:val="24"/>
          <w:szCs w:val="24"/>
        </w:rPr>
        <w:t xml:space="preserve">Every number clickable into receipts.</w:t>
      </w:r>
    </w:p>
    <w:p>
      <w:pPr>
        <w:spacing w:after="80" w:before="80" w:line="320"/>
        <w:ind w:left="720"/>
      </w:pPr>
      <w:r>
        <w:rPr>
          <w:rFonts w:ascii="Consolas" w:cs="Consolas" w:eastAsia="Consolas" w:hAnsi="Consolas"/>
          <w:b/>
          <w:bCs/>
          <w:color w:val="B8893F"/>
          <w:sz w:val="22"/>
          <w:szCs w:val="22"/>
        </w:rPr>
        <w:t xml:space="preserve">III. </w:t>
      </w:r>
      <w:r>
        <w:rPr>
          <w:rFonts w:ascii="Garamond" w:cs="Garamond" w:eastAsia="Garamond" w:hAnsi="Garamond"/>
          <w:i/>
          <w:iCs/>
          <w:color w:val="1A1A1A"/>
          <w:sz w:val="24"/>
          <w:szCs w:val="24"/>
        </w:rPr>
        <w:t xml:space="preserve">No export without receipts.</w:t>
      </w:r>
    </w:p>
    <w:p>
      <w:pPr>
        <w:spacing w:after="80" w:before="80" w:line="320"/>
        <w:ind w:left="720"/>
      </w:pPr>
      <w:r>
        <w:rPr>
          <w:rFonts w:ascii="Consolas" w:cs="Consolas" w:eastAsia="Consolas" w:hAnsi="Consolas"/>
          <w:b/>
          <w:bCs/>
          <w:color w:val="B8893F"/>
          <w:sz w:val="22"/>
          <w:szCs w:val="22"/>
        </w:rPr>
        <w:t xml:space="preserve">IV.  </w:t>
      </w:r>
      <w:r>
        <w:rPr>
          <w:rFonts w:ascii="Garamond" w:cs="Garamond" w:eastAsia="Garamond" w:hAnsi="Garamond"/>
          <w:i/>
          <w:iCs/>
          <w:color w:val="1A1A1A"/>
          <w:sz w:val="24"/>
          <w:szCs w:val="24"/>
        </w:rPr>
        <w:t xml:space="preserve">Narratives never outrun evidence.</w:t>
      </w:r>
    </w:p>
    <w:p>
      <w:pPr>
        <w:spacing w:after="400" w:before="400"/>
      </w:pPr>
      <w:r>
        <w:t xml:space="preserve"/>
      </w:r>
    </w:p>
    <w:p>
      <w:pPr>
        <w:pBdr>
          <w:bottom w:val="single" w:color="B8893F" w:sz="6" w:space="1"/>
        </w:pBdr>
        <w:spacing w:after="80" w:before="80"/>
      </w:pPr>
      <w:r>
        <w:t xml:space="preserve"/>
      </w:r>
    </w:p>
    <w:p>
      <w:pPr>
        <w:spacing w:after="200" w:before="200"/>
      </w:pPr>
      <w:r>
        <w:t xml:space="preserve"/>
      </w:r>
    </w:p>
    <w:p>
      <w:pPr>
        <w:spacing w:after="80" w:before="60" w:line="300"/>
        <w:jc w:val="both"/>
      </w:pPr>
      <w:r>
        <w:rPr>
          <w:rFonts w:ascii="Garamond" w:cs="Garamond" w:eastAsia="Garamond" w:hAnsi="Garamond"/>
          <w:color w:val="1A1A1A"/>
          <w:sz w:val="22"/>
          <w:szCs w:val="22"/>
        </w:rPr>
        <w:t xml:space="preserve">These rules govern every render, every export, every assertion. The remainder of this document explains how 160 modules across 22 operating systems make them mechanically true.</w:t>
      </w:r>
    </w:p>
    <w:p>
      <w:r>
        <w:br w:type="page"/>
      </w:r>
    </w:p>
    <w:p>
      <w:pPr>
        <w:spacing w:after="60" w:before="80"/>
        <w:jc w:val="left"/>
      </w:pPr>
      <w:r>
        <w:rPr>
          <w:rFonts w:ascii="Consolas" w:cs="Consolas" w:eastAsia="Consolas" w:hAnsi="Consolas"/>
          <w:b w:val="false"/>
          <w:bCs w:val="false"/>
          <w:color w:val="B8893F"/>
          <w:spacing w:val="60"/>
          <w:sz w:val="14"/>
          <w:szCs w:val="14"/>
        </w:rPr>
        <w:t xml:space="preserve">FOREWORD</w:t>
      </w:r>
    </w:p>
    <w:p>
      <w:pPr>
        <w:spacing w:after="120" w:before="120"/>
        <w:jc w:val="left"/>
      </w:pPr>
      <w:r>
        <w:rPr>
          <w:rFonts w:ascii="Helvetica Neue" w:cs="Helvetica Neue" w:eastAsia="Helvetica Neue" w:hAnsi="Helvetica Neue"/>
          <w:b/>
          <w:bCs/>
          <w:color w:val="1A1A1A"/>
          <w:sz w:val="56"/>
          <w:szCs w:val="56"/>
        </w:rPr>
        <w:t xml:space="preserve">The Architecture, in Three Layers</w:t>
      </w:r>
    </w:p>
    <w:p>
      <w:pPr>
        <w:pBdr>
          <w:bottom w:val="single" w:color="B8893F" w:sz="6" w:space="1"/>
        </w:pBdr>
        <w:spacing w:after="80" w:before="80"/>
      </w:pPr>
      <w:r>
        <w:t xml:space="preserve"/>
      </w:r>
    </w:p>
    <w:p>
      <w:pPr>
        <w:spacing w:after="160" w:before="160"/>
      </w:pPr>
      <w:r>
        <w:t xml:space="preserve"/>
      </w:r>
    </w:p>
    <w:p>
      <w:pPr>
        <w:spacing w:after="80" w:before="60" w:line="300"/>
        <w:jc w:val="both"/>
      </w:pPr>
      <w:r>
        <w:rPr>
          <w:rFonts w:ascii="Garamond" w:cs="Garamond" w:eastAsia="Garamond" w:hAnsi="Garamond"/>
          <w:color w:val="1A1A1A"/>
          <w:sz w:val="22"/>
          <w:szCs w:val="22"/>
        </w:rPr>
        <w:t xml:space="preserve">Kincaid IQ is constituted as a three-layer system. The construction is deliberate; each layer presupposes the layer beneath it, and no layer's guarantees are coherent in isolation. The arrangement is the platform's central architectural claim — that fiduciary-grade analytics is not a single capability but a stack of three capabilities operating in concert.</w:t>
      </w:r>
    </w:p>
    <w:p>
      <w:pPr>
        <w:spacing w:after="120" w:before="80" w:line="320"/>
        <w:jc w:val="left"/>
      </w:pPr>
      <w:r>
        <w:rPr>
          <w:rFonts w:ascii="Garamond" w:cs="Garamond" w:eastAsia="Garamond" w:hAnsi="Garamond"/>
          <w:i/>
          <w:iCs/>
          <w:color w:val="1A1A1A"/>
          <w:sz w:val="22"/>
          <w:szCs w:val="22"/>
        </w:rPr>
        <w:t xml:space="preserve">Layer I — Core Intelligence — computes the truth. Twelve operating systems, one hundred eleven modules. From raw ingestion through canonical normalization through deterministic computation, the layer makes messy reality into board-defensible fact.</w:t>
      </w:r>
    </w:p>
    <w:p>
      <w:pPr>
        <w:spacing w:after="120" w:before="80" w:line="320"/>
        <w:jc w:val="left"/>
      </w:pPr>
      <w:r>
        <w:rPr>
          <w:rFonts w:ascii="Garamond" w:cs="Garamond" w:eastAsia="Garamond" w:hAnsi="Garamond"/>
          <w:i/>
          <w:iCs/>
          <w:color w:val="1A1A1A"/>
          <w:sz w:val="22"/>
          <w:szCs w:val="22"/>
        </w:rPr>
        <w:t xml:space="preserve">Layer II — Continuous Verification — proves the truth remains true. Five operating systems, twenty-three modules. Always-on drift surveillance, contract reconciliation, fiduciary scoring, autonomous governance. The layer is what makes the platform infrastructure rather than software.</w:t>
      </w:r>
    </w:p>
    <w:p>
      <w:pPr>
        <w:spacing w:after="120" w:before="80" w:line="320"/>
        <w:jc w:val="left"/>
      </w:pPr>
      <w:r>
        <w:rPr>
          <w:rFonts w:ascii="Garamond" w:cs="Garamond" w:eastAsia="Garamond" w:hAnsi="Garamond"/>
          <w:i/>
          <w:iCs/>
          <w:color w:val="1A1A1A"/>
          <w:sz w:val="22"/>
          <w:szCs w:val="22"/>
        </w:rPr>
        <w:t xml:space="preserve">Layer III — Fiduciary Control Plane — externalizes the proof. Five operating systems, twenty-six modules. Cryptographic attestation, federated benchmarking, policy-as-code, remediation automation. The layer is what makes the platform a category-defining product rather than a competent participant in an existing category.</w:t>
      </w:r>
    </w:p>
    <w:p>
      <w:pPr>
        <w:spacing w:after="240" w:before="240"/>
      </w:pPr>
      <w:r>
        <w:t xml:space="preserve"/>
      </w:r>
    </w:p>
    <w:p>
      <w:pPr>
        <w:spacing w:after="80" w:before="60" w:line="300"/>
        <w:jc w:val="both"/>
      </w:pPr>
      <w:r>
        <w:rPr>
          <w:rFonts w:ascii="Garamond" w:cs="Garamond" w:eastAsia="Garamond" w:hAnsi="Garamond"/>
          <w:color w:val="1A1A1A"/>
          <w:sz w:val="22"/>
          <w:szCs w:val="22"/>
        </w:rPr>
        <w:t xml:space="preserve">The remainder of this monograph documents each module in turn. Every module description carries three obligations: a mechanism statement in the engineering register (what the module is, in computer-science and operations-research terms), a product framing in the strategic register (what category-defining capability the module instantiates), and a fiduciary-consequence statement (what becomes possible because the module exists).</w:t>
      </w:r>
    </w:p>
    <w:p>
      <w:pPr>
        <w:spacing w:after="80" w:before="60" w:line="300"/>
        <w:jc w:val="both"/>
      </w:pPr>
      <w:r>
        <w:rPr>
          <w:rFonts w:ascii="Garamond" w:cs="Garamond" w:eastAsia="Garamond" w:hAnsi="Garamond"/>
          <w:color w:val="1A1A1A"/>
          <w:sz w:val="22"/>
          <w:szCs w:val="22"/>
        </w:rPr>
        <w:t xml:space="preserve">The audience is the product-grade reader: the director who must understand what they are governing, the chief financial officer who must understand what they are buying, the engineer who must understand what they are building, the auditor who must understand what they are verifying. The voice is not consumer software documentation; it is the academic-industrial register of a Stanford strategic-management case appendix paired with the systems rigor of an MIT working paper.</w:t>
      </w:r>
    </w:p>
    <w:p>
      <w:r>
        <w:br w:type="page"/>
      </w:r>
    </w:p>
    <w:p>
      <w:pPr>
        <w:spacing w:after="60" w:before="80"/>
        <w:jc w:val="left"/>
      </w:pPr>
      <w:r>
        <w:rPr>
          <w:rFonts w:ascii="Consolas" w:cs="Consolas" w:eastAsia="Consolas" w:hAnsi="Consolas"/>
          <w:b w:val="false"/>
          <w:bCs w:val="false"/>
          <w:color w:val="B8893F"/>
          <w:spacing w:val="60"/>
          <w:sz w:val="14"/>
          <w:szCs w:val="14"/>
        </w:rPr>
        <w:t xml:space="preserve">SECTION · INVENTORY</w:t>
      </w:r>
    </w:p>
    <w:p>
      <w:pPr>
        <w:spacing w:after="120" w:before="120"/>
        <w:jc w:val="left"/>
      </w:pPr>
      <w:r>
        <w:rPr>
          <w:rFonts w:ascii="Helvetica Neue" w:cs="Helvetica Neue" w:eastAsia="Helvetica Neue" w:hAnsi="Helvetica Neue"/>
          <w:b/>
          <w:bCs/>
          <w:color w:val="1A1A1A"/>
          <w:sz w:val="56"/>
          <w:szCs w:val="56"/>
        </w:rPr>
        <w:t xml:space="preserve">Module Inventory</w:t>
      </w:r>
    </w:p>
    <w:p>
      <w:pPr>
        <w:pBdr>
          <w:bottom w:val="single" w:color="B8893F" w:sz="6" w:space="1"/>
        </w:pBdr>
        <w:spacing w:after="80" w:before="80"/>
      </w:pPr>
      <w:r>
        <w:t xml:space="preserve"/>
      </w:r>
    </w:p>
    <w:p>
      <w:pPr>
        <w:spacing w:after="160" w:before="160"/>
      </w:pPr>
      <w:r>
        <w:t xml:space="preserve"/>
      </w:r>
    </w:p>
    <w:p>
      <w:pPr>
        <w:spacing w:after="80" w:before="60" w:line="300"/>
        <w:jc w:val="both"/>
      </w:pPr>
      <w:r>
        <w:rPr>
          <w:rFonts w:ascii="Garamond" w:cs="Garamond" w:eastAsia="Garamond" w:hAnsi="Garamond"/>
          <w:color w:val="1A1A1A"/>
          <w:sz w:val="22"/>
          <w:szCs w:val="22"/>
        </w:rPr>
        <w:t xml:space="preserve">Twenty-two operating systems organized into three layers; one hundred sixty documented modules. Module counts are exact and reflect the V4 Constitution's authoritative specification.</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1100"/>
        <w:gridCol w:w="1560"/>
      </w:tblGrid>
      <w:tr>
        <w:trPr>
          <w:tblHeader/>
        </w:trPr>
        <w:tc>
          <w:tcPr>
            <w:tcW w:type="dxa" w:w="1100"/>
            <w:tcBorders>
              <w:top w:val="single" w:color="C8C8C8" w:sz="4"/>
              <w:left w:val="single" w:color="C8C8C8" w:sz="4"/>
              <w:bottom w:val="single" w:color="C8C8C8" w:sz="4"/>
              <w:right w:val="single" w:color="C8C8C8" w:sz="4"/>
            </w:tcBorders>
            <w:shd w:fill="F4EFE3" w:val="clear"/>
            <w:tcMar>
              <w:top w:type="dxa" w:w="120"/>
              <w:left w:type="dxa" w:w="140"/>
              <w:bottom w:type="dxa" w:w="120"/>
              <w:right w:type="dxa" w:w="140"/>
            </w:tcMar>
            <w:vAlign w:val="center"/>
          </w:tcPr>
          <w:p>
            <w:pPr>
              <w:jc w:val="left"/>
            </w:pPr>
            <w:r>
              <w:rPr>
                <w:rFonts w:ascii="Consolas" w:cs="Consolas" w:eastAsia="Consolas" w:hAnsi="Consolas"/>
                <w:b/>
                <w:bCs/>
                <w:color w:val="B8893F"/>
                <w:spacing w:val="40"/>
                <w:sz w:val="16"/>
                <w:szCs w:val="16"/>
              </w:rPr>
              <w:t xml:space="preserve">OS ID</w:t>
            </w:r>
          </w:p>
        </w:tc>
        <w:tc>
          <w:tcPr>
            <w:tcW w:type="dxa" w:w="5600"/>
            <w:tcBorders>
              <w:top w:val="single" w:color="C8C8C8" w:sz="4"/>
              <w:left w:val="single" w:color="C8C8C8" w:sz="4"/>
              <w:bottom w:val="single" w:color="C8C8C8" w:sz="4"/>
              <w:right w:val="single" w:color="C8C8C8" w:sz="4"/>
            </w:tcBorders>
            <w:shd w:fill="F4EFE3" w:val="clear"/>
            <w:tcMar>
              <w:top w:type="dxa" w:w="120"/>
              <w:left w:type="dxa" w:w="140"/>
              <w:bottom w:type="dxa" w:w="120"/>
              <w:right w:type="dxa" w:w="140"/>
            </w:tcMar>
            <w:vAlign w:val="center"/>
          </w:tcPr>
          <w:p>
            <w:pPr>
              <w:jc w:val="left"/>
            </w:pPr>
            <w:r>
              <w:rPr>
                <w:rFonts w:ascii="Consolas" w:cs="Consolas" w:eastAsia="Consolas" w:hAnsi="Consolas"/>
                <w:b/>
                <w:bCs/>
                <w:color w:val="B8893F"/>
                <w:spacing w:val="40"/>
                <w:sz w:val="16"/>
                <w:szCs w:val="16"/>
              </w:rPr>
              <w:t xml:space="preserve">NAME</w:t>
            </w:r>
          </w:p>
        </w:tc>
        <w:tc>
          <w:tcPr>
            <w:tcW w:type="dxa" w:w="1100"/>
            <w:tcBorders>
              <w:top w:val="single" w:color="C8C8C8" w:sz="4"/>
              <w:left w:val="single" w:color="C8C8C8" w:sz="4"/>
              <w:bottom w:val="single" w:color="C8C8C8" w:sz="4"/>
              <w:right w:val="single" w:color="C8C8C8" w:sz="4"/>
            </w:tcBorders>
            <w:shd w:fill="F4EFE3" w:val="clear"/>
            <w:tcMar>
              <w:top w:type="dxa" w:w="120"/>
              <w:left w:type="dxa" w:w="140"/>
              <w:bottom w:type="dxa" w:w="120"/>
              <w:right w:type="dxa" w:w="140"/>
            </w:tcMar>
            <w:vAlign w:val="center"/>
          </w:tcPr>
          <w:p>
            <w:pPr>
              <w:jc w:val="center"/>
            </w:pPr>
            <w:r>
              <w:rPr>
                <w:rFonts w:ascii="Consolas" w:cs="Consolas" w:eastAsia="Consolas" w:hAnsi="Consolas"/>
                <w:b/>
                <w:bCs/>
                <w:color w:val="B8893F"/>
                <w:spacing w:val="40"/>
                <w:sz w:val="16"/>
                <w:szCs w:val="16"/>
              </w:rPr>
              <w:t xml:space="preserve">LAYER</w:t>
            </w:r>
          </w:p>
        </w:tc>
        <w:tc>
          <w:tcPr>
            <w:tcW w:type="dxa" w:w="1560"/>
            <w:tcBorders>
              <w:top w:val="single" w:color="C8C8C8" w:sz="4"/>
              <w:left w:val="single" w:color="C8C8C8" w:sz="4"/>
              <w:bottom w:val="single" w:color="C8C8C8" w:sz="4"/>
              <w:right w:val="single" w:color="C8C8C8" w:sz="4"/>
            </w:tcBorders>
            <w:shd w:fill="F4EFE3" w:val="clear"/>
            <w:tcMar>
              <w:top w:type="dxa" w:w="120"/>
              <w:left w:type="dxa" w:w="140"/>
              <w:bottom w:type="dxa" w:w="120"/>
              <w:right w:type="dxa" w:w="140"/>
            </w:tcMar>
            <w:vAlign w:val="center"/>
          </w:tcPr>
          <w:p>
            <w:pPr>
              <w:jc w:val="right"/>
            </w:pPr>
            <w:r>
              <w:rPr>
                <w:rFonts w:ascii="Consolas" w:cs="Consolas" w:eastAsia="Consolas" w:hAnsi="Consolas"/>
                <w:b/>
                <w:bCs/>
                <w:color w:val="B8893F"/>
                <w:spacing w:val="40"/>
                <w:sz w:val="16"/>
                <w:szCs w:val="16"/>
              </w:rPr>
              <w:t xml:space="preserve">MODULES</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OS-01</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Evidence &amp; Truth</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10</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OS-02</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Ingestion &amp; Indexing</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19</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OS-03</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Workflow &amp; Operations</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10</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OS-04</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Health Plan Intelligence</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13</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OS-05</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Pharmacy / PBM Intelligence</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8</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OS-06</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Actuarial Standards</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6</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OS-07</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Fiduciary &amp; Governance</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6</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OS-08</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Executive Decision</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8</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OS-09</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Security &amp; Access</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9</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OS-10</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Integrations &amp; Export</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8</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OS-11</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Growth &amp; GTM</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7</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OS-12</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Platform Engineering</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L1</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8</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OS-13</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Continuous Verification</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L2</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6</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OS-14</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Contract Enforcement</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L2</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5</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OS-15</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Enterprise Value</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L2</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4</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OS-16</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Market Intelligence Network</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L2</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4</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OS-17</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Autonomous Governance</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L2</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4</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OS-18</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Proof &amp; Attestation</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L3</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5</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OS-19</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Federated Benchmark</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L3</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5</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OS-20</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Policy-as-Code</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L3</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5</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OS-21</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Ecosystem &amp; Developer Platform</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L3</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5</w:t>
            </w:r>
          </w:p>
        </w:tc>
      </w:tr>
      <w:tr>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Consolas" w:cs="Consolas" w:eastAsia="Consolas" w:hAnsi="Consolas"/>
                <w:b/>
                <w:bCs/>
                <w:color w:val="B8893F"/>
                <w:sz w:val="20"/>
                <w:szCs w:val="20"/>
              </w:rPr>
              <w:t xml:space="preserve">OS-22</w:t>
            </w:r>
          </w:p>
        </w:tc>
        <w:tc>
          <w:tcPr>
            <w:tcW w:type="dxa" w:w="56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r>
              <w:rPr>
                <w:rFonts w:ascii="Helvetica Neue" w:cs="Helvetica Neue" w:eastAsia="Helvetica Neue" w:hAnsi="Helvetica Neue"/>
                <w:color w:val="1A1A1A"/>
                <w:sz w:val="22"/>
                <w:szCs w:val="22"/>
              </w:rPr>
              <w:t xml:space="preserve">Remediation Automation</w:t>
            </w:r>
          </w:p>
        </w:tc>
        <w:tc>
          <w:tcPr>
            <w:tcW w:type="dxa" w:w="110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center"/>
            </w:pPr>
            <w:r>
              <w:rPr>
                <w:rFonts w:ascii="Consolas" w:cs="Consolas" w:eastAsia="Consolas" w:hAnsi="Consolas"/>
                <w:color w:val="5C5C5C"/>
                <w:sz w:val="18"/>
                <w:szCs w:val="18"/>
              </w:rPr>
              <w:t xml:space="preserve">L3</w:t>
            </w:r>
          </w:p>
        </w:tc>
        <w:tc>
          <w:tcPr>
            <w:tcW w:type="dxa" w:w="1560"/>
            <w:tcBorders>
              <w:top w:val="single" w:color="C8C8C8" w:sz="4"/>
              <w:left w:val="single" w:color="C8C8C8" w:sz="4"/>
              <w:bottom w:val="single" w:color="C8C8C8" w:sz="4"/>
              <w:right w:val="single" w:color="C8C8C8" w:sz="4"/>
            </w:tcBorders>
            <w:tcMar>
              <w:top w:type="dxa" w:w="100"/>
              <w:left w:type="dxa" w:w="140"/>
              <w:bottom w:type="dxa" w:w="100"/>
              <w:right w:type="dxa" w:w="140"/>
            </w:tcMar>
            <w:vAlign w:val="center"/>
          </w:tcPr>
          <w:p>
            <w:pPr>
              <w:jc w:val="right"/>
            </w:pPr>
            <w:r>
              <w:rPr>
                <w:rFonts w:ascii="Consolas" w:cs="Consolas" w:eastAsia="Consolas" w:hAnsi="Consolas"/>
                <w:color w:val="1A1A1A"/>
                <w:sz w:val="22"/>
                <w:szCs w:val="22"/>
              </w:rPr>
              <w:t xml:space="preserve">5</w:t>
            </w:r>
          </w:p>
        </w:tc>
      </w:tr>
    </w:tbl>
    <w:p>
      <w:r>
        <w:br w:type="page"/>
      </w:r>
    </w:p>
    <w:p>
      <w:pPr>
        <w:spacing w:after="1600" w:before="1600"/>
      </w:pPr>
      <w:r>
        <w:t xml:space="preserve"/>
      </w:r>
    </w:p>
    <w:p>
      <w:pPr>
        <w:spacing w:after="60" w:before="80"/>
        <w:jc w:val="left"/>
      </w:pPr>
      <w:r>
        <w:rPr>
          <w:rFonts w:ascii="Consolas" w:cs="Consolas" w:eastAsia="Consolas" w:hAnsi="Consolas"/>
          <w:b w:val="false"/>
          <w:bCs w:val="false"/>
          <w:color w:val="B8893F"/>
          <w:spacing w:val="60"/>
          <w:sz w:val="16"/>
          <w:szCs w:val="16"/>
        </w:rPr>
        <w:t xml:space="preserve">LAYER I  ·  OS-01 → OS-12  ·  112 MODULES</w:t>
      </w:r>
    </w:p>
    <w:p>
      <w:pPr>
        <w:spacing w:after="120" w:before="120"/>
      </w:pPr>
      <w:r>
        <w:t xml:space="preserve"/>
      </w:r>
    </w:p>
    <w:p>
      <w:pPr>
        <w:pStyle w:val="Heading1"/>
        <w:spacing w:after="160" w:before="320"/>
      </w:pPr>
      <w:r>
        <w:rPr>
          <w:rFonts w:ascii="Helvetica Neue" w:cs="Helvetica Neue" w:eastAsia="Helvetica Neue" w:hAnsi="Helvetica Neue"/>
          <w:b/>
          <w:bCs/>
          <w:color w:val="1A1A1A"/>
          <w:sz w:val="44"/>
          <w:szCs w:val="44"/>
        </w:rPr>
        <w:t xml:space="preserve">Layer I</w:t>
      </w:r>
    </w:p>
    <w:p>
      <w:pPr>
        <w:spacing w:after="240" w:before="80"/>
      </w:pPr>
      <w:r>
        <w:rPr>
          <w:rFonts w:ascii="Helvetica Neue" w:cs="Helvetica Neue" w:eastAsia="Helvetica Neue" w:hAnsi="Helvetica Neue"/>
          <w:b/>
          <w:bCs/>
          <w:i/>
          <w:iCs/>
          <w:color w:val="B8893F"/>
          <w:sz w:val="72"/>
          <w:szCs w:val="72"/>
        </w:rPr>
        <w:t xml:space="preserve">Core Intelligence</w:t>
      </w:r>
    </w:p>
    <w:p>
      <w:pPr>
        <w:pBdr>
          <w:bottom w:val="single" w:color="B8893F" w:sz="6" w:space="1"/>
        </w:pBdr>
        <w:spacing w:after="80" w:before="80"/>
      </w:pPr>
      <w:r>
        <w:t xml:space="preserve"/>
      </w:r>
    </w:p>
    <w:p>
      <w:pPr>
        <w:spacing w:after="160" w:before="160"/>
      </w:pPr>
      <w:r>
        <w:t xml:space="preserve"/>
      </w:r>
    </w:p>
    <w:p>
      <w:pPr>
        <w:spacing w:after="120" w:before="80" w:line="320"/>
        <w:jc w:val="left"/>
      </w:pPr>
      <w:r>
        <w:rPr>
          <w:rFonts w:ascii="Garamond" w:cs="Garamond" w:eastAsia="Garamond" w:hAnsi="Garamond"/>
          <w:i/>
          <w:iCs/>
          <w:color w:val="1A1A1A"/>
          <w:sz w:val="22"/>
          <w:szCs w:val="22"/>
        </w:rPr>
        <w:t xml:space="preserve">The computational substrate. Where messy reality becomes deterministic, hash-stamped, board-defensible fact.</w:t>
      </w:r>
    </w:p>
    <w:p>
      <w:r>
        <w:br w:type="page"/>
      </w:r>
    </w:p>
    <w:p>
      <w:pPr>
        <w:spacing w:after="60" w:before="80"/>
        <w:jc w:val="left"/>
      </w:pPr>
      <w:r>
        <w:rPr>
          <w:rFonts w:ascii="Consolas" w:cs="Consolas" w:eastAsia="Consolas" w:hAnsi="Consolas"/>
          <w:b w:val="false"/>
          <w:bCs w:val="false"/>
          <w:color w:val="B8893F"/>
          <w:spacing w:val="60"/>
          <w:sz w:val="14"/>
          <w:szCs w:val="14"/>
        </w:rPr>
        <w:t xml:space="preserve">OS-01  ·  LAYER 1  ·  10 MODULES</w:t>
      </w:r>
    </w:p>
    <w:p>
      <w:pPr>
        <w:pStyle w:val="Heading2"/>
        <w:spacing w:after="100" w:before="240"/>
      </w:pPr>
      <w:r>
        <w:rPr>
          <w:rFonts w:ascii="Helvetica Neue" w:cs="Helvetica Neue" w:eastAsia="Helvetica Neue" w:hAnsi="Helvetica Neue"/>
          <w:b/>
          <w:bCs/>
          <w:color w:val="1A1A1A"/>
          <w:sz w:val="32"/>
          <w:szCs w:val="32"/>
        </w:rPr>
        <w:t xml:space="preserve">Evidence &amp; Truth</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substrate of fiduciary defensibility. The operating system imports a single epistemic axiom: nothing reaches a board surface without a verifiable, cryptographically anchored evidentiary path. Every module downstream depends on the guarantees this layer provides.</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EvidenceVault</w:t>
      </w:r>
    </w:p>
    <w:p>
      <w:pPr>
        <w:keepNext/>
        <w:spacing w:after="80" w:before="0" w:line="280"/>
      </w:pPr>
      <w:r>
        <w:rPr>
          <w:rFonts w:ascii="Garamond" w:cs="Garamond" w:eastAsia="Garamond" w:hAnsi="Garamond"/>
          <w:i/>
          <w:iCs/>
          <w:color w:val="1A1A1A"/>
          <w:sz w:val="22"/>
          <w:szCs w:val="22"/>
        </w:rPr>
        <w:t xml:space="preserve">Content-addressed, immutable object store; the platform's evidentiary substrate.</w:t>
      </w:r>
    </w:p>
    <w:p>
      <w:pPr>
        <w:spacing w:after="80" w:before="60" w:line="300"/>
        <w:jc w:val="both"/>
      </w:pPr>
      <w:r>
        <w:rPr>
          <w:rFonts w:ascii="Garamond" w:cs="Garamond" w:eastAsia="Garamond" w:hAnsi="Garamond"/>
          <w:color w:val="1A1A1A"/>
          <w:sz w:val="22"/>
          <w:szCs w:val="22"/>
        </w:rPr>
        <w:t xml:space="preserve">Architecturally analogous to a Merkle-leaf store: each ingested artifact (contract, claim file, DOL Form 5500, vendor invoice) is sealed under the SHA-256 hash of its byte stream. Mutation is impossible by construction — any byte change yields a new content address and therefore a distinct artifact. This is the discipline that separates a database from a ledger and an analytics tool from an evidentiary instrument. Product framing: the EvidenceVault is the moat. Competitors host data; Kincaid IQ hosts content-addressed evidence. The first deliverable is not a dashboard, it is the ability to say 'here is the artifact, here is its hash, here is the chain of every transform that touched it' — and to mean it under deposition.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ArtifactRegistry</w:t>
      </w:r>
    </w:p>
    <w:p>
      <w:pPr>
        <w:keepNext/>
        <w:spacing w:after="80" w:before="0" w:line="280"/>
      </w:pPr>
      <w:r>
        <w:rPr>
          <w:rFonts w:ascii="Garamond" w:cs="Garamond" w:eastAsia="Garamond" w:hAnsi="Garamond"/>
          <w:i/>
          <w:iCs/>
          <w:color w:val="1A1A1A"/>
          <w:sz w:val="22"/>
          <w:szCs w:val="22"/>
        </w:rPr>
        <w:t xml:space="preserve">Metadata index over the Vault — the card catalog of evidence.</w:t>
      </w:r>
    </w:p>
    <w:p>
      <w:pPr>
        <w:spacing w:after="80" w:before="60" w:line="300"/>
        <w:jc w:val="both"/>
      </w:pPr>
      <w:r>
        <w:rPr>
          <w:rFonts w:ascii="Garamond" w:cs="Garamond" w:eastAsia="Garamond" w:hAnsi="Garamond"/>
          <w:color w:val="1A1A1A"/>
          <w:sz w:val="22"/>
          <w:szCs w:val="22"/>
        </w:rPr>
        <w:t xml:space="preserve">Maintains a relational index keyed on (artifact_id, content_hash) and indexed on provenance (uploaded_by, received_at, source_channel), sensitivity classification (PII / PHI / attorney-client / trade-secret), retention class, and lifecycle state. The Registry is the bridge between the addressable-by-hash Vault and the human reality of 'I need to find the 2024 PBM amendment from Acme Corp.' Strategically, it is the layer that makes the Vault navigable without compromising the Vault's tamper-evident properties — the index can be rebuilt; the artifacts cannot be altered.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HashingAndVersioning</w:t>
      </w:r>
    </w:p>
    <w:p>
      <w:pPr>
        <w:keepNext/>
        <w:spacing w:after="80" w:before="0" w:line="280"/>
      </w:pPr>
      <w:r>
        <w:rPr>
          <w:rFonts w:ascii="Garamond" w:cs="Garamond" w:eastAsia="Garamond" w:hAnsi="Garamond"/>
          <w:i/>
          <w:iCs/>
          <w:color w:val="1A1A1A"/>
          <w:sz w:val="22"/>
          <w:szCs w:val="22"/>
        </w:rPr>
        <w:t xml:space="preserve">FIPS 180-4 hashing pipeline plus semantic versioning for KPIs and transforms.</w:t>
      </w:r>
    </w:p>
    <w:p>
      <w:pPr>
        <w:spacing w:after="80" w:before="60" w:line="300"/>
        <w:jc w:val="both"/>
      </w:pPr>
      <w:r>
        <w:rPr>
          <w:rFonts w:ascii="Garamond" w:cs="Garamond" w:eastAsia="Garamond" w:hAnsi="Garamond"/>
          <w:color w:val="1A1A1A"/>
          <w:sz w:val="22"/>
          <w:szCs w:val="22"/>
        </w:rPr>
        <w:t xml:space="preserve">Computes SHA-256 over object content and derived composite hashes — input_hash, evidence_set_hash, transform_hash — that collectively form the deterministic cache key (kpi_key, kpi_version, evidence_set_hash, transform_hash). Same inputs plus same code plus same configuration yields the same hash and therefore, provably, the same output. This is the mechanism by which reproducibility ceases to be aspirational and becomes architectural. In MBA terms: the platform's audit-defensibility narrative is not a claim, it is a property of the system that an external auditor can verify in finite time.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LineageGraph</w:t>
      </w:r>
    </w:p>
    <w:p>
      <w:pPr>
        <w:keepNext/>
        <w:spacing w:after="80" w:before="0" w:line="280"/>
      </w:pPr>
      <w:r>
        <w:rPr>
          <w:rFonts w:ascii="Garamond" w:cs="Garamond" w:eastAsia="Garamond" w:hAnsi="Garamond"/>
          <w:i/>
          <w:iCs/>
          <w:color w:val="1A1A1A"/>
          <w:sz w:val="22"/>
          <w:szCs w:val="22"/>
        </w:rPr>
        <w:t xml:space="preserve">Directed acyclic graph of dependencies from raw evidence through transforms to published claim.</w:t>
      </w:r>
    </w:p>
    <w:p>
      <w:pPr>
        <w:spacing w:after="80" w:before="60" w:line="300"/>
        <w:jc w:val="both"/>
      </w:pPr>
      <w:r>
        <w:rPr>
          <w:rFonts w:ascii="Garamond" w:cs="Garamond" w:eastAsia="Garamond" w:hAnsi="Garamond"/>
          <w:color w:val="1A1A1A"/>
          <w:sz w:val="22"/>
          <w:szCs w:val="22"/>
        </w:rPr>
        <w:t xml:space="preserve">Each node is either an artifact, a transform invocation, or a derived fact; each edge is a typed dependency. For any published KPI, the Lineage Graph holds the complete provenance subgraph: traverse upward and you reach the raw evidence; traverse forward and you reach every downstream consumer. The structure makes ERISA §404(a)(1)(B) defensibility mechanically tractable: the question 'how was this number derived?' becomes a graph query rather than a forensic exercise. Strategically, it converts what is normally a discovery liability into a discovery asset.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TransformRegistry</w:t>
      </w:r>
    </w:p>
    <w:p>
      <w:pPr>
        <w:keepNext/>
        <w:spacing w:after="80" w:before="0" w:line="280"/>
      </w:pPr>
      <w:r>
        <w:rPr>
          <w:rFonts w:ascii="Garamond" w:cs="Garamond" w:eastAsia="Garamond" w:hAnsi="Garamond"/>
          <w:i/>
          <w:iCs/>
          <w:color w:val="1A1A1A"/>
          <w:sz w:val="22"/>
          <w:szCs w:val="22"/>
        </w:rPr>
        <w:t xml:space="preserve">Versioned, immutable catalog of every computation function the platform has ever run.</w:t>
      </w:r>
    </w:p>
    <w:p>
      <w:pPr>
        <w:spacing w:after="80" w:before="60" w:line="300"/>
        <w:jc w:val="both"/>
      </w:pPr>
      <w:r>
        <w:rPr>
          <w:rFonts w:ascii="Garamond" w:cs="Garamond" w:eastAsia="Garamond" w:hAnsi="Garamond"/>
          <w:color w:val="1A1A1A"/>
          <w:sz w:val="22"/>
          <w:szCs w:val="22"/>
        </w:rPr>
        <w:t xml:space="preserve">A transform is a piece of executable code — a normalization routine, a PEPM calculation, a rebate reconciliation algorithm. Each registered transform carries (transform_id, code_version, params_hash, signature, semantic_version). The 2023 transform_hash remains callable in 2026; the platform can recompute a 2023 KPI in 2026 and obtain the same number that was published then, bit-for-bit. This is not testing infrastructure — this is the architectural commitment that makes the platform a system of record rather than a system of analysis.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ConfidenceScoring</w:t>
      </w:r>
    </w:p>
    <w:p>
      <w:pPr>
        <w:keepNext/>
        <w:spacing w:after="80" w:before="0" w:line="280"/>
      </w:pPr>
      <w:r>
        <w:rPr>
          <w:rFonts w:ascii="Garamond" w:cs="Garamond" w:eastAsia="Garamond" w:hAnsi="Garamond"/>
          <w:i/>
          <w:iCs/>
          <w:color w:val="1A1A1A"/>
          <w:sz w:val="22"/>
          <w:szCs w:val="22"/>
        </w:rPr>
        <w:t xml:space="preserve">Three-tier epistemic classification engine: CERTIFIED, MODELED, INSUFFICIENT EVIDENCE.</w:t>
      </w:r>
    </w:p>
    <w:p>
      <w:pPr>
        <w:spacing w:after="80" w:before="60" w:line="300"/>
        <w:jc w:val="both"/>
      </w:pPr>
      <w:r>
        <w:rPr>
          <w:rFonts w:ascii="Garamond" w:cs="Garamond" w:eastAsia="Garamond" w:hAnsi="Garamond"/>
          <w:color w:val="1A1A1A"/>
          <w:sz w:val="22"/>
          <w:szCs w:val="22"/>
        </w:rPr>
        <w:t xml:space="preserve">Every finding receives an explicit confidence tier based on the evidence underwriting it. CERTIFIED corresponds to direct evidence with full lineage to a specific source record. MODELED corresponds to actuarial inference with disclosed uncertainty bounds. INSUFFICIENT EVIDENCE is not a gap to be filled — it is treated as a positive forensic signal: the absence of expected evidence is itself a finding about vendor cooperation or contractual transparency. This trichotomy operationalizes Knightian uncertainty inside an analytics product, which is a category-defining product decision.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AuditPackBuilder</w:t>
      </w:r>
    </w:p>
    <w:p>
      <w:pPr>
        <w:keepNext/>
        <w:spacing w:after="80" w:before="0" w:line="280"/>
      </w:pPr>
      <w:r>
        <w:rPr>
          <w:rFonts w:ascii="Garamond" w:cs="Garamond" w:eastAsia="Garamond" w:hAnsi="Garamond"/>
          <w:i/>
          <w:iCs/>
          <w:color w:val="1A1A1A"/>
          <w:sz w:val="22"/>
          <w:szCs w:val="22"/>
        </w:rPr>
        <w:t xml:space="preserve">Generator of board-defensible evidence bundles meeting the standard of a discovery exhibit.</w:t>
      </w:r>
    </w:p>
    <w:p>
      <w:pPr>
        <w:spacing w:after="80" w:before="60" w:line="300"/>
        <w:jc w:val="both"/>
      </w:pPr>
      <w:r>
        <w:rPr>
          <w:rFonts w:ascii="Garamond" w:cs="Garamond" w:eastAsia="Garamond" w:hAnsi="Garamond"/>
          <w:color w:val="1A1A1A"/>
          <w:sz w:val="22"/>
          <w:szCs w:val="22"/>
        </w:rPr>
        <w:t xml:space="preserve">Packages a published claim into a self-contained, hash-chained artifact: the claim text, every supporting source artifact, every transform invocation with parameters, every policy evaluation result, the confidence tier rationale, and the complete signing chain. Designed to evidentiary standards used in federal discovery and PCAOB AS 2201 audits. The strategic implication: counsel can hand the AuditPack to opposing counsel and a court can adjudicate on the math alone. Disputes collapse into reconciliation, not credibility contests.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PolicyControlsEngine</w:t>
      </w:r>
    </w:p>
    <w:p>
      <w:pPr>
        <w:keepNext/>
        <w:spacing w:after="80" w:before="0" w:line="280"/>
      </w:pPr>
      <w:r>
        <w:rPr>
          <w:rFonts w:ascii="Garamond" w:cs="Garamond" w:eastAsia="Garamond" w:hAnsi="Garamond"/>
          <w:i/>
          <w:iCs/>
          <w:color w:val="1A1A1A"/>
          <w:sz w:val="22"/>
          <w:szCs w:val="22"/>
        </w:rPr>
        <w:t xml:space="preserve">Runtime enforcement of governance rules written in PolicyDSLv1.</w:t>
      </w:r>
    </w:p>
    <w:p>
      <w:pPr>
        <w:spacing w:after="80" w:before="60" w:line="300"/>
        <w:jc w:val="both"/>
      </w:pPr>
      <w:r>
        <w:rPr>
          <w:rFonts w:ascii="Garamond" w:cs="Garamond" w:eastAsia="Garamond" w:hAnsi="Garamond"/>
          <w:color w:val="1A1A1A"/>
          <w:sz w:val="22"/>
          <w:szCs w:val="22"/>
        </w:rPr>
        <w:t xml:space="preserve">Evaluates freshness SLA thresholds, evidence-minimum requirements, RBAC clearance, cohort k-anonymity, and other governance predicates before any value is rendered. Returns a PolicyResult tuple — (allowed, verified_status, freshness_status, confidence_score, violations[]) — which the War Room treats as authoritative. The engine is the runtime expression of the platform's governance posture: a tile that would breach governance does not render, period. This is the architectural alternative to the typical analytics pattern of 'render now, govern later.'</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M009  </w:t>
      </w:r>
      <w:r>
        <w:rPr>
          <w:rFonts w:ascii="Helvetica Neue" w:cs="Helvetica Neue" w:eastAsia="Helvetica Neue" w:hAnsi="Helvetica Neue"/>
          <w:b/>
          <w:bCs/>
          <w:color w:val="1A1A1A"/>
          <w:sz w:val="24"/>
          <w:szCs w:val="24"/>
        </w:rPr>
        <w:t xml:space="preserve">CitationAnchorStore</w:t>
      </w:r>
    </w:p>
    <w:p>
      <w:pPr>
        <w:keepNext/>
        <w:spacing w:after="80" w:before="0" w:line="280"/>
      </w:pPr>
      <w:r>
        <w:rPr>
          <w:rFonts w:ascii="Garamond" w:cs="Garamond" w:eastAsia="Garamond" w:hAnsi="Garamond"/>
          <w:i/>
          <w:iCs/>
          <w:color w:val="1A1A1A"/>
          <w:sz w:val="22"/>
          <w:szCs w:val="22"/>
        </w:rPr>
        <w:t xml:space="preserve">Durable, stable URIs binding every cited number to its underlying evidence package.</w:t>
      </w:r>
    </w:p>
    <w:p>
      <w:pPr>
        <w:spacing w:after="80" w:before="60" w:line="300"/>
        <w:jc w:val="both"/>
      </w:pPr>
      <w:r>
        <w:rPr>
          <w:rFonts w:ascii="Garamond" w:cs="Garamond" w:eastAsia="Garamond" w:hAnsi="Garamond"/>
          <w:color w:val="1A1A1A"/>
          <w:sz w:val="22"/>
          <w:szCs w:val="22"/>
        </w:rPr>
        <w:t xml:space="preserve">Every figure that appears in a board memo, executive brief, or board pack carries a citation anchor — a stable URI that resolves to the exact transform invocation, the exact evidence set, and the exact policy verdict that produced the number. The anchor survives schema migrations, version upgrades, and tenant boundaries. In product terms, the anchor is the 'click for receipts' UX promise made architecturally durable: numbers in printed materials remain verifiable five years later.</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M010  </w:t>
      </w:r>
      <w:r>
        <w:rPr>
          <w:rFonts w:ascii="Helvetica Neue" w:cs="Helvetica Neue" w:eastAsia="Helvetica Neue" w:hAnsi="Helvetica Neue"/>
          <w:b/>
          <w:bCs/>
          <w:color w:val="1A1A1A"/>
          <w:sz w:val="24"/>
          <w:szCs w:val="24"/>
        </w:rPr>
        <w:t xml:space="preserve">ChangeLogCompiler</w:t>
      </w:r>
    </w:p>
    <w:p>
      <w:pPr>
        <w:keepNext/>
        <w:spacing w:after="80" w:before="0" w:line="280"/>
      </w:pPr>
      <w:r>
        <w:rPr>
          <w:rFonts w:ascii="Garamond" w:cs="Garamond" w:eastAsia="Garamond" w:hAnsi="Garamond"/>
          <w:i/>
          <w:iCs/>
          <w:color w:val="1A1A1A"/>
          <w:sz w:val="22"/>
          <w:szCs w:val="22"/>
        </w:rPr>
        <w:t xml:space="preserve">Append-only ledger capturing every retroactive correction to upstream data.</w:t>
      </w:r>
    </w:p>
    <w:p>
      <w:pPr>
        <w:spacing w:after="80" w:before="60" w:line="300"/>
        <w:jc w:val="both"/>
      </w:pPr>
      <w:r>
        <w:rPr>
          <w:rFonts w:ascii="Garamond" w:cs="Garamond" w:eastAsia="Garamond" w:hAnsi="Garamond"/>
          <w:color w:val="1A1A1A"/>
          <w:sz w:val="22"/>
          <w:szCs w:val="22"/>
        </w:rPr>
        <w:t xml:space="preserve">When claims data is restated, when eligibility is corrected, when a vendor reissues an invoice, the ChangeLog captures the before/after JSONB diff, the affected row hashes, the timestamp, and the corrective action. Retroactive truth becomes detectable, bounded, and governable — three properties most analytics platforms fail to provide. Boards see what changed, when, and why; the historical record retains the original published value alongside the correction, so version drift cannot silently rewrite history.</w:t>
      </w:r>
    </w:p>
    <w:p>
      <w:r>
        <w:br w:type="page"/>
      </w:r>
    </w:p>
    <w:p>
      <w:pPr>
        <w:spacing w:after="60" w:before="80"/>
        <w:jc w:val="left"/>
      </w:pPr>
      <w:r>
        <w:rPr>
          <w:rFonts w:ascii="Consolas" w:cs="Consolas" w:eastAsia="Consolas" w:hAnsi="Consolas"/>
          <w:b w:val="false"/>
          <w:bCs w:val="false"/>
          <w:color w:val="B8893F"/>
          <w:spacing w:val="60"/>
          <w:sz w:val="14"/>
          <w:szCs w:val="14"/>
        </w:rPr>
        <w:t xml:space="preserve">OS-02  ·  LAYER 1  ·  19 MODULES</w:t>
      </w:r>
    </w:p>
    <w:p>
      <w:pPr>
        <w:pStyle w:val="Heading2"/>
        <w:spacing w:after="100" w:before="240"/>
      </w:pPr>
      <w:r>
        <w:rPr>
          <w:rFonts w:ascii="Helvetica Neue" w:cs="Helvetica Neue" w:eastAsia="Helvetica Neue" w:hAnsi="Helvetica Neue"/>
          <w:b/>
          <w:bCs/>
          <w:color w:val="1A1A1A"/>
          <w:sz w:val="32"/>
          <w:szCs w:val="32"/>
        </w:rPr>
        <w:t xml:space="preserve">Ingestion &amp; Indexing</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platform's customs office. Heterogeneous, vendor-specific, schema-irregular reality enters; canonical, content-addressed, hash-stamped facts exit. The operating system makes the platform's downstream determinism possible by collapsing intake variance to zero at the boundary.</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UploadGateway</w:t>
      </w:r>
    </w:p>
    <w:p>
      <w:pPr>
        <w:keepNext/>
        <w:spacing w:after="80" w:before="0" w:line="280"/>
      </w:pPr>
      <w:r>
        <w:rPr>
          <w:rFonts w:ascii="Garamond" w:cs="Garamond" w:eastAsia="Garamond" w:hAnsi="Garamond"/>
          <w:i/>
          <w:iCs/>
          <w:color w:val="1A1A1A"/>
          <w:sz w:val="22"/>
          <w:szCs w:val="22"/>
        </w:rPr>
        <w:t xml:space="preserve">Multi-channel intake endpoint with idempotency guarantees.</w:t>
      </w:r>
    </w:p>
    <w:p>
      <w:pPr>
        <w:spacing w:after="80" w:before="60" w:line="300"/>
        <w:jc w:val="both"/>
      </w:pPr>
      <w:r>
        <w:rPr>
          <w:rFonts w:ascii="Garamond" w:cs="Garamond" w:eastAsia="Garamond" w:hAnsi="Garamond"/>
          <w:color w:val="1A1A1A"/>
          <w:sz w:val="22"/>
          <w:szCs w:val="22"/>
        </w:rPr>
        <w:t xml:space="preserve">Accepts HTTPS upload, SFTP drop, email-to-vault, and authenticated API push. The gateway authenticates the channel, computes the content hash of every received object, and writes to the Vault idempotently — the same artifact uploaded twice results in a no-op rather than a duplicate row. This eliminates one of the most common failure modes of operational analytics platforms: silent duplicate imports in year two corrupting trend lines for the entire customer base.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PDFParser</w:t>
      </w:r>
    </w:p>
    <w:p>
      <w:pPr>
        <w:keepNext/>
        <w:spacing w:after="80" w:before="0" w:line="280"/>
      </w:pPr>
      <w:r>
        <w:rPr>
          <w:rFonts w:ascii="Garamond" w:cs="Garamond" w:eastAsia="Garamond" w:hAnsi="Garamond"/>
          <w:i/>
          <w:iCs/>
          <w:color w:val="1A1A1A"/>
          <w:sz w:val="22"/>
          <w:szCs w:val="22"/>
        </w:rPr>
        <w:t xml:space="preserve">Native and OCR-based extraction with page-level provenance preservation.</w:t>
      </w:r>
    </w:p>
    <w:p>
      <w:pPr>
        <w:spacing w:after="80" w:before="60" w:line="300"/>
        <w:jc w:val="both"/>
      </w:pPr>
      <w:r>
        <w:rPr>
          <w:rFonts w:ascii="Garamond" w:cs="Garamond" w:eastAsia="Garamond" w:hAnsi="Garamond"/>
          <w:color w:val="1A1A1A"/>
          <w:sz w:val="22"/>
          <w:szCs w:val="22"/>
        </w:rPr>
        <w:t xml:space="preserve">Handles vector PDFs through structural parsing and scanned PDFs through OCR; produces structured JSON output in which every extracted value carries (page_number, bounding_box) tuples. The provenance preservation matters: when a board challenges a number derived from a contract, the platform can return not just 'the contract says X' but 'page 47, paragraph 3, lines 14-18 of the executed amendment.' Forensic-grade transparency is the product feature.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CSVParser</w:t>
      </w:r>
    </w:p>
    <w:p>
      <w:pPr>
        <w:keepNext/>
        <w:spacing w:after="80" w:before="0" w:line="280"/>
      </w:pPr>
      <w:r>
        <w:rPr>
          <w:rFonts w:ascii="Garamond" w:cs="Garamond" w:eastAsia="Garamond" w:hAnsi="Garamond"/>
          <w:i/>
          <w:iCs/>
          <w:color w:val="1A1A1A"/>
          <w:sz w:val="22"/>
          <w:szCs w:val="22"/>
        </w:rPr>
        <w:t xml:space="preserve">Robust CSV/TSV reader engineered for vendor-dialect variance.</w:t>
      </w:r>
    </w:p>
    <w:p>
      <w:pPr>
        <w:spacing w:after="80" w:before="60" w:line="300"/>
        <w:jc w:val="both"/>
      </w:pPr>
      <w:r>
        <w:rPr>
          <w:rFonts w:ascii="Garamond" w:cs="Garamond" w:eastAsia="Garamond" w:hAnsi="Garamond"/>
          <w:color w:val="1A1A1A"/>
          <w:sz w:val="22"/>
          <w:szCs w:val="22"/>
        </w:rPr>
        <w:t xml:space="preserve">Performs delimiter inference, encoding detection (UTF-8, Windows-1252, Latin-1), header recognition, type promotion with explicit type-mismatch logging, and null-token normalization across the long tail of vendor conventions ('NULL', 'N/A', '0', '', '-', '.'). Built for the operational reality that the same nominal data product — claims, eligibility, formulary — arrives in nineteen distinct dialects depending on carrier and vendor of origin.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XLSXParser</w:t>
      </w:r>
    </w:p>
    <w:p>
      <w:pPr>
        <w:keepNext/>
        <w:spacing w:after="80" w:before="0" w:line="280"/>
      </w:pPr>
      <w:r>
        <w:rPr>
          <w:rFonts w:ascii="Garamond" w:cs="Garamond" w:eastAsia="Garamond" w:hAnsi="Garamond"/>
          <w:i/>
          <w:iCs/>
          <w:color w:val="1A1A1A"/>
          <w:sz w:val="22"/>
          <w:szCs w:val="22"/>
        </w:rPr>
        <w:t xml:space="preserve">Excel workbook decomposition with formula-vs-value separation.</w:t>
      </w:r>
    </w:p>
    <w:p>
      <w:pPr>
        <w:spacing w:after="80" w:before="60" w:line="300"/>
        <w:jc w:val="both"/>
      </w:pPr>
      <w:r>
        <w:rPr>
          <w:rFonts w:ascii="Garamond" w:cs="Garamond" w:eastAsia="Garamond" w:hAnsi="Garamond"/>
          <w:color w:val="1A1A1A"/>
          <w:sz w:val="22"/>
          <w:szCs w:val="22"/>
        </w:rPr>
        <w:t xml:space="preserve">Traverses multi-sheet workbooks, preserves merged-cell semantics, extracts formulas separately from rendered values, captures defined names and named ranges, and distinguishes input cells from computed cells. The formula-vs-value distinction is consequential when a vendor's 'rebate report' is built atop hidden Excel logic — the platform captures the workbook's computational structure as evidence in its own right.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JSONParser</w:t>
      </w:r>
    </w:p>
    <w:p>
      <w:pPr>
        <w:keepNext/>
        <w:spacing w:after="80" w:before="0" w:line="280"/>
      </w:pPr>
      <w:r>
        <w:rPr>
          <w:rFonts w:ascii="Garamond" w:cs="Garamond" w:eastAsia="Garamond" w:hAnsi="Garamond"/>
          <w:i/>
          <w:iCs/>
          <w:color w:val="1A1A1A"/>
          <w:sz w:val="22"/>
          <w:szCs w:val="22"/>
        </w:rPr>
        <w:t xml:space="preserve">Schema-aware ingestion for HRIS, eligibility, and claims API feeds.</w:t>
      </w:r>
    </w:p>
    <w:p>
      <w:pPr>
        <w:spacing w:after="80" w:before="60" w:line="300"/>
        <w:jc w:val="both"/>
      </w:pPr>
      <w:r>
        <w:rPr>
          <w:rFonts w:ascii="Garamond" w:cs="Garamond" w:eastAsia="Garamond" w:hAnsi="Garamond"/>
          <w:color w:val="1A1A1A"/>
          <w:sz w:val="22"/>
          <w:szCs w:val="22"/>
        </w:rPr>
        <w:t xml:space="preserve">Validates inbound JSON against registered schema contracts; rejects malformed payloads at the boundary rather than allowing partial-quality data to propagate. Enforces the architectural principle that the data layer is convex — bad data cannot enter — which simplifies every reasoning task downstream and is the difference between a platform that scales and one that drowns in special-case handling.</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SchemaInference</w:t>
      </w:r>
    </w:p>
    <w:p>
      <w:pPr>
        <w:keepNext/>
        <w:spacing w:after="80" w:before="0" w:line="280"/>
      </w:pPr>
      <w:r>
        <w:rPr>
          <w:rFonts w:ascii="Garamond" w:cs="Garamond" w:eastAsia="Garamond" w:hAnsi="Garamond"/>
          <w:i/>
          <w:iCs/>
          <w:color w:val="1A1A1A"/>
          <w:sz w:val="22"/>
          <w:szCs w:val="22"/>
        </w:rPr>
        <w:t xml:space="preserve">Automated structural detection for unknown file types.</w:t>
      </w:r>
    </w:p>
    <w:p>
      <w:pPr>
        <w:spacing w:after="80" w:before="60" w:line="300"/>
        <w:jc w:val="both"/>
      </w:pPr>
      <w:r>
        <w:rPr>
          <w:rFonts w:ascii="Garamond" w:cs="Garamond" w:eastAsia="Garamond" w:hAnsi="Garamond"/>
          <w:color w:val="1A1A1A"/>
          <w:sz w:val="22"/>
          <w:szCs w:val="22"/>
        </w:rPr>
        <w:t xml:space="preserve">For artifacts arriving without a registered schema, runs column-type inference, key detection, foreign-key suggestion, and confidence scoring on field semantics ('this column matches the NDC distribution,' 'this column matches member identifiers'). Surfaces a proposed schema for human review before promoting the artifact to canonical status. The inference layer is what allows the platform to absorb new data sources at a marginal cost asymptotically lower than the linear engineering effort competing platforms require.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CanonicalNormalizer</w:t>
      </w:r>
    </w:p>
    <w:p>
      <w:pPr>
        <w:keepNext/>
        <w:spacing w:after="80" w:before="0" w:line="280"/>
      </w:pPr>
      <w:r>
        <w:rPr>
          <w:rFonts w:ascii="Garamond" w:cs="Garamond" w:eastAsia="Garamond" w:hAnsi="Garamond"/>
          <w:i/>
          <w:iCs/>
          <w:color w:val="1A1A1A"/>
          <w:sz w:val="22"/>
          <w:szCs w:val="22"/>
        </w:rPr>
        <w:t xml:space="preserve">Translation layer mapping vendor-specific dialects to canonical schemas.</w:t>
      </w:r>
    </w:p>
    <w:p>
      <w:pPr>
        <w:spacing w:after="80" w:before="60" w:line="300"/>
        <w:jc w:val="both"/>
      </w:pPr>
      <w:r>
        <w:rPr>
          <w:rFonts w:ascii="Garamond" w:cs="Garamond" w:eastAsia="Garamond" w:hAnsi="Garamond"/>
          <w:color w:val="1A1A1A"/>
          <w:sz w:val="22"/>
          <w:szCs w:val="22"/>
        </w:rPr>
        <w:t xml:space="preserve">Implements approximately 41 documented translation maps (19 carrier claims dialects, 14 PBM Rx-claims dialects, 8 TPA eligibility dialects) into the canonical claim, eligibility, vendor, and contract schemas. This is where information asymmetry between employer and vendor begins to collapse mechanically: the same NDC, the same member, the same dollar resolves to the same canonical fact regardless of which vendor's pipeline delivered it. In strategic terms, the normalizer is the platform's wedge against vendor lock-in — customer data becomes portable and comparable.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EntityResolverEmployer</w:t>
      </w:r>
    </w:p>
    <w:p>
      <w:pPr>
        <w:keepNext/>
        <w:spacing w:after="80" w:before="0" w:line="280"/>
      </w:pPr>
      <w:r>
        <w:rPr>
          <w:rFonts w:ascii="Garamond" w:cs="Garamond" w:eastAsia="Garamond" w:hAnsi="Garamond"/>
          <w:i/>
          <w:iCs/>
          <w:color w:val="1A1A1A"/>
          <w:sz w:val="22"/>
          <w:szCs w:val="22"/>
        </w:rPr>
        <w:t xml:space="preserve">Probabilistic employer identification combining string similarity and authoritative identifiers.</w:t>
      </w:r>
    </w:p>
    <w:p>
      <w:pPr>
        <w:spacing w:after="80" w:before="60" w:line="300"/>
        <w:jc w:val="both"/>
      </w:pPr>
      <w:r>
        <w:rPr>
          <w:rFonts w:ascii="Garamond" w:cs="Garamond" w:eastAsia="Garamond" w:hAnsi="Garamond"/>
          <w:color w:val="1A1A1A"/>
          <w:sz w:val="22"/>
          <w:szCs w:val="22"/>
        </w:rPr>
        <w:t xml:space="preserve">Resolves variant employer names ('ACME Corp,' 'Acme Corporation,' 'Acme Corp Inc.') and federal Employer Identification Numbers to a single canonical employer_id using Jaro-Winkler similarity on names, EIN cross-validation, and DOL Form 5500 filing cross-reference. Maintains full alias history for evidentiary completeness — the system can answer not just 'who is this?' but 'what were they ever called?'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M009  </w:t>
      </w:r>
      <w:r>
        <w:rPr>
          <w:rFonts w:ascii="Helvetica Neue" w:cs="Helvetica Neue" w:eastAsia="Helvetica Neue" w:hAnsi="Helvetica Neue"/>
          <w:b/>
          <w:bCs/>
          <w:color w:val="1A1A1A"/>
          <w:sz w:val="24"/>
          <w:szCs w:val="24"/>
        </w:rPr>
        <w:t xml:space="preserve">EntityResolverVendor</w:t>
      </w:r>
    </w:p>
    <w:p>
      <w:pPr>
        <w:keepNext/>
        <w:spacing w:after="80" w:before="0" w:line="280"/>
      </w:pPr>
      <w:r>
        <w:rPr>
          <w:rFonts w:ascii="Garamond" w:cs="Garamond" w:eastAsia="Garamond" w:hAnsi="Garamond"/>
          <w:i/>
          <w:iCs/>
          <w:color w:val="1A1A1A"/>
          <w:sz w:val="22"/>
          <w:szCs w:val="22"/>
        </w:rPr>
        <w:t xml:space="preserve">Carrier, PBM, TPA, and broker entity resolution.</w:t>
      </w:r>
    </w:p>
    <w:p>
      <w:pPr>
        <w:spacing w:after="80" w:before="60" w:line="300"/>
        <w:jc w:val="both"/>
      </w:pPr>
      <w:r>
        <w:rPr>
          <w:rFonts w:ascii="Garamond" w:cs="Garamond" w:eastAsia="Garamond" w:hAnsi="Garamond"/>
          <w:color w:val="1A1A1A"/>
          <w:sz w:val="22"/>
          <w:szCs w:val="22"/>
        </w:rPr>
        <w:t xml:space="preserve">Applies the same probabilistic resolution discipline to vendors: 'Express Scripts,' 'ESI,' and 'Evernorth Care Solutions' collapse to a single vendor_id with alias history preserved. Required upstream input to the Shady Broker Index (SBI™) calculation, the federated benchmarking aggregation, and the contract-enforcement runtime. Vendor identity is the join key on which platform-wide intelligence is built.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M010  </w:t>
      </w:r>
      <w:r>
        <w:rPr>
          <w:rFonts w:ascii="Helvetica Neue" w:cs="Helvetica Neue" w:eastAsia="Helvetica Neue" w:hAnsi="Helvetica Neue"/>
          <w:b/>
          <w:bCs/>
          <w:color w:val="1A1A1A"/>
          <w:sz w:val="24"/>
          <w:szCs w:val="24"/>
        </w:rPr>
        <w:t xml:space="preserve">EntityResolverPlan</w:t>
      </w:r>
    </w:p>
    <w:p>
      <w:pPr>
        <w:keepNext/>
        <w:spacing w:after="80" w:before="0" w:line="280"/>
      </w:pPr>
      <w:r>
        <w:rPr>
          <w:rFonts w:ascii="Garamond" w:cs="Garamond" w:eastAsia="Garamond" w:hAnsi="Garamond"/>
          <w:i/>
          <w:iCs/>
          <w:color w:val="1A1A1A"/>
          <w:sz w:val="22"/>
          <w:szCs w:val="22"/>
        </w:rPr>
        <w:t xml:space="preserve">Plan-year resolution under employer-specific plan calendars.</w:t>
      </w:r>
    </w:p>
    <w:p>
      <w:pPr>
        <w:spacing w:after="80" w:before="60" w:line="300"/>
        <w:jc w:val="both"/>
      </w:pPr>
      <w:r>
        <w:rPr>
          <w:rFonts w:ascii="Garamond" w:cs="Garamond" w:eastAsia="Garamond" w:hAnsi="Garamond"/>
          <w:color w:val="1A1A1A"/>
          <w:sz w:val="22"/>
          <w:szCs w:val="22"/>
        </w:rPr>
        <w:t xml:space="preserve">Resolves which plan year a given claim or document belongs to under the employer's plan calendar — which is rarely January through December. The plan-year boundary is the denominator boundary for PEPM and PEPY computations; mis-resolution silently distorts every downstream metric. Most platforms either ignore this complexity or expose it as a configuration burden; Kincaid IQ resolves it canonically.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M011  </w:t>
      </w:r>
      <w:r>
        <w:rPr>
          <w:rFonts w:ascii="Helvetica Neue" w:cs="Helvetica Neue" w:eastAsia="Helvetica Neue" w:hAnsi="Helvetica Neue"/>
          <w:b/>
          <w:bCs/>
          <w:color w:val="1A1A1A"/>
          <w:sz w:val="24"/>
          <w:szCs w:val="24"/>
        </w:rPr>
        <w:t xml:space="preserve">MultiYearLinker</w:t>
      </w:r>
    </w:p>
    <w:p>
      <w:pPr>
        <w:keepNext/>
        <w:spacing w:after="80" w:before="0" w:line="280"/>
      </w:pPr>
      <w:r>
        <w:rPr>
          <w:rFonts w:ascii="Garamond" w:cs="Garamond" w:eastAsia="Garamond" w:hAnsi="Garamond"/>
          <w:i/>
          <w:iCs/>
          <w:color w:val="1A1A1A"/>
          <w:sz w:val="22"/>
          <w:szCs w:val="22"/>
        </w:rPr>
        <w:t xml:space="preserve">Longitudinal cohort assembly across plan years and vendor transitions.</w:t>
      </w:r>
    </w:p>
    <w:p>
      <w:pPr>
        <w:spacing w:after="80" w:before="60" w:line="300"/>
        <w:jc w:val="both"/>
      </w:pPr>
      <w:r>
        <w:rPr>
          <w:rFonts w:ascii="Garamond" w:cs="Garamond" w:eastAsia="Garamond" w:hAnsi="Garamond"/>
          <w:color w:val="1A1A1A"/>
          <w:sz w:val="22"/>
          <w:szCs w:val="22"/>
        </w:rPr>
        <w:t xml:space="preserve">Stitches plan years into 3-, 5-, and 7-year trend lines while enforcing continuity rules: members must exist in eligibility before their claims contribute to spend; vendor transitions mid-year are flagged with explicit transition events. The linker is what makes the platform's longitudinal claims credible — '7-year compound trend' is computable only because the linkage is principled rather than naive.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M012  </w:t>
      </w:r>
      <w:r>
        <w:rPr>
          <w:rFonts w:ascii="Helvetica Neue" w:cs="Helvetica Neue" w:eastAsia="Helvetica Neue" w:hAnsi="Helvetica Neue"/>
          <w:b/>
          <w:bCs/>
          <w:color w:val="1A1A1A"/>
          <w:sz w:val="24"/>
          <w:szCs w:val="24"/>
        </w:rPr>
        <w:t xml:space="preserve">DriftDetector</w:t>
      </w:r>
    </w:p>
    <w:p>
      <w:pPr>
        <w:keepNext/>
        <w:spacing w:after="80" w:before="0" w:line="280"/>
      </w:pPr>
      <w:r>
        <w:rPr>
          <w:rFonts w:ascii="Garamond" w:cs="Garamond" w:eastAsia="Garamond" w:hAnsi="Garamond"/>
          <w:i/>
          <w:iCs/>
          <w:color w:val="1A1A1A"/>
          <w:sz w:val="22"/>
          <w:szCs w:val="22"/>
        </w:rPr>
        <w:t xml:space="preserve">Statistical surveillance for distributional shifts in canonical tables.</w:t>
      </w:r>
    </w:p>
    <w:p>
      <w:pPr>
        <w:spacing w:after="80" w:before="60" w:line="300"/>
        <w:jc w:val="both"/>
      </w:pPr>
      <w:r>
        <w:rPr>
          <w:rFonts w:ascii="Garamond" w:cs="Garamond" w:eastAsia="Garamond" w:hAnsi="Garamond"/>
          <w:color w:val="1A1A1A"/>
          <w:sz w:val="22"/>
          <w:szCs w:val="22"/>
        </w:rPr>
        <w:t xml:space="preserve">Monitors for distributional changes — sudden PMPM spikes, sudden claim-count collapse, sudden NDC mix shift — using rolling statistical tests with configurable significance thresholds. Drift events feed OS-13 Continuous Verification and may auto-suspend publication of affected KPIs until human review confirms the cause. The principle: drift may indicate genuine economic change, but it may also indicate vendor pipeline failure, and the platform refuses to publish numbers it cannot distinguish between the two interpretations.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M013  </w:t>
      </w:r>
      <w:r>
        <w:rPr>
          <w:rFonts w:ascii="Helvetica Neue" w:cs="Helvetica Neue" w:eastAsia="Helvetica Neue" w:hAnsi="Helvetica Neue"/>
          <w:b/>
          <w:bCs/>
          <w:color w:val="1A1A1A"/>
          <w:sz w:val="24"/>
          <w:szCs w:val="24"/>
        </w:rPr>
        <w:t xml:space="preserve">IndexPublisher</w:t>
      </w:r>
    </w:p>
    <w:p>
      <w:pPr>
        <w:keepNext/>
        <w:spacing w:after="80" w:before="0" w:line="280"/>
      </w:pPr>
      <w:r>
        <w:rPr>
          <w:rFonts w:ascii="Garamond" w:cs="Garamond" w:eastAsia="Garamond" w:hAnsi="Garamond"/>
          <w:i/>
          <w:iCs/>
          <w:color w:val="1A1A1A"/>
          <w:sz w:val="22"/>
          <w:szCs w:val="22"/>
        </w:rPr>
        <w:t xml:space="preserve">Read-side materialization of search indices and OLAP cubes.</w:t>
      </w:r>
    </w:p>
    <w:p>
      <w:pPr>
        <w:spacing w:after="80" w:before="60" w:line="300"/>
        <w:jc w:val="both"/>
      </w:pPr>
      <w:r>
        <w:rPr>
          <w:rFonts w:ascii="Garamond" w:cs="Garamond" w:eastAsia="Garamond" w:hAnsi="Garamond"/>
          <w:color w:val="1A1A1A"/>
          <w:sz w:val="22"/>
          <w:szCs w:val="22"/>
        </w:rPr>
        <w:t xml:space="preserve">Builds and refreshes the indices the War Room, Sales OS, and external API surface query at runtime. The publication is idempotent and hash-tagged; every refresh carries a freshness manifest that downstream consumers can verify. Separation of write-side determinism (the canonical tables) from read-side materialization (the indices) is what allows the platform to maintain audit-grade integrity at scale without sacrificing query latency.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M014  </w:t>
      </w:r>
      <w:r>
        <w:rPr>
          <w:rFonts w:ascii="Helvetica Neue" w:cs="Helvetica Neue" w:eastAsia="Helvetica Neue" w:hAnsi="Helvetica Neue"/>
          <w:b/>
          <w:bCs/>
          <w:color w:val="1A1A1A"/>
          <w:sz w:val="24"/>
          <w:szCs w:val="24"/>
        </w:rPr>
        <w:t xml:space="preserve">FileTypeDetector</w:t>
      </w:r>
    </w:p>
    <w:p>
      <w:pPr>
        <w:keepNext/>
        <w:spacing w:after="80" w:before="0" w:line="280"/>
      </w:pPr>
      <w:r>
        <w:rPr>
          <w:rFonts w:ascii="Garamond" w:cs="Garamond" w:eastAsia="Garamond" w:hAnsi="Garamond"/>
          <w:i/>
          <w:iCs/>
          <w:color w:val="1A1A1A"/>
          <w:sz w:val="22"/>
          <w:szCs w:val="22"/>
        </w:rPr>
        <w:t xml:space="preserve">MIME-aware routing based on magic-byte inspection rather than file extension.</w:t>
      </w:r>
    </w:p>
    <w:p>
      <w:pPr>
        <w:spacing w:after="80" w:before="60" w:line="300"/>
        <w:jc w:val="both"/>
      </w:pPr>
      <w:r>
        <w:rPr>
          <w:rFonts w:ascii="Garamond" w:cs="Garamond" w:eastAsia="Garamond" w:hAnsi="Garamond"/>
          <w:color w:val="1A1A1A"/>
          <w:sz w:val="22"/>
          <w:szCs w:val="22"/>
        </w:rPr>
        <w:t xml:space="preserve">Inspects the first bytes of every uploaded artifact to determine actual file type. A renamed .docx will not be parsed as CSV; a malformed PDF will be flagged before the PDFParser attempts to extract from it. This is the boundary defense against the class of bugs that masquerade as data problems but originate in extension-based routing assumptions.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M015  </w:t>
      </w:r>
      <w:r>
        <w:rPr>
          <w:rFonts w:ascii="Helvetica Neue" w:cs="Helvetica Neue" w:eastAsia="Helvetica Neue" w:hAnsi="Helvetica Neue"/>
          <w:b/>
          <w:bCs/>
          <w:color w:val="1A1A1A"/>
          <w:sz w:val="24"/>
          <w:szCs w:val="24"/>
        </w:rPr>
        <w:t xml:space="preserve">EncodingNormalizer</w:t>
      </w:r>
    </w:p>
    <w:p>
      <w:pPr>
        <w:keepNext/>
        <w:spacing w:after="80" w:before="0" w:line="280"/>
      </w:pPr>
      <w:r>
        <w:rPr>
          <w:rFonts w:ascii="Garamond" w:cs="Garamond" w:eastAsia="Garamond" w:hAnsi="Garamond"/>
          <w:i/>
          <w:iCs/>
          <w:color w:val="1A1A1A"/>
          <w:sz w:val="22"/>
          <w:szCs w:val="22"/>
        </w:rPr>
        <w:t xml:space="preserve">Character-set canonicalization to UTF-8 NFC.</w:t>
      </w:r>
    </w:p>
    <w:p>
      <w:pPr>
        <w:spacing w:after="80" w:before="60" w:line="300"/>
        <w:jc w:val="both"/>
      </w:pPr>
      <w:r>
        <w:rPr>
          <w:rFonts w:ascii="Garamond" w:cs="Garamond" w:eastAsia="Garamond" w:hAnsi="Garamond"/>
          <w:color w:val="1A1A1A"/>
          <w:sz w:val="22"/>
          <w:szCs w:val="22"/>
        </w:rPr>
        <w:t xml:space="preserve">Forces every textual artifact through Unicode normalization (NFC composition) and converts encoding from any detected source charset to UTF-8. Eliminates the silent-corruption mode in which 'Müller' becomes 'M??ller' between systems — a class of bug that destroys analytics platforms incrementally and irretrievably over time.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M016  </w:t>
      </w:r>
      <w:r>
        <w:rPr>
          <w:rFonts w:ascii="Helvetica Neue" w:cs="Helvetica Neue" w:eastAsia="Helvetica Neue" w:hAnsi="Helvetica Neue"/>
          <w:b/>
          <w:bCs/>
          <w:color w:val="1A1A1A"/>
          <w:sz w:val="24"/>
          <w:szCs w:val="24"/>
        </w:rPr>
        <w:t xml:space="preserve">DeduplicationEngine</w:t>
      </w:r>
    </w:p>
    <w:p>
      <w:pPr>
        <w:keepNext/>
        <w:spacing w:after="80" w:before="0" w:line="280"/>
      </w:pPr>
      <w:r>
        <w:rPr>
          <w:rFonts w:ascii="Garamond" w:cs="Garamond" w:eastAsia="Garamond" w:hAnsi="Garamond"/>
          <w:i/>
          <w:iCs/>
          <w:color w:val="1A1A1A"/>
          <w:sz w:val="22"/>
          <w:szCs w:val="22"/>
        </w:rPr>
        <w:t xml:space="preserve">Cross-source duplicate detection at the canonical fact layer.</w:t>
      </w:r>
    </w:p>
    <w:p>
      <w:pPr>
        <w:spacing w:after="80" w:before="60" w:line="300"/>
        <w:jc w:val="both"/>
      </w:pPr>
      <w:r>
        <w:rPr>
          <w:rFonts w:ascii="Garamond" w:cs="Garamond" w:eastAsia="Garamond" w:hAnsi="Garamond"/>
          <w:color w:val="1A1A1A"/>
          <w:sz w:val="22"/>
          <w:szCs w:val="22"/>
        </w:rPr>
        <w:t xml:space="preserve">When the same claim arrives via two channels — for example, a carrier feed and an employer self-upload of the same claim file — the engine preserves both source artifacts in the Vault (lineage matters) while deduplicating at the canonical-claim layer. The result: provenance is preserved for forensics, but downstream KPIs are not inflated by accidental double-counting.</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M017  </w:t>
      </w:r>
      <w:r>
        <w:rPr>
          <w:rFonts w:ascii="Helvetica Neue" w:cs="Helvetica Neue" w:eastAsia="Helvetica Neue" w:hAnsi="Helvetica Neue"/>
          <w:b/>
          <w:bCs/>
          <w:color w:val="1A1A1A"/>
          <w:sz w:val="24"/>
          <w:szCs w:val="24"/>
        </w:rPr>
        <w:t xml:space="preserve">ChunkAndEmbed</w:t>
      </w:r>
    </w:p>
    <w:p>
      <w:pPr>
        <w:keepNext/>
        <w:spacing w:after="80" w:before="0" w:line="280"/>
      </w:pPr>
      <w:r>
        <w:rPr>
          <w:rFonts w:ascii="Garamond" w:cs="Garamond" w:eastAsia="Garamond" w:hAnsi="Garamond"/>
          <w:i/>
          <w:iCs/>
          <w:color w:val="1A1A1A"/>
          <w:sz w:val="22"/>
          <w:szCs w:val="22"/>
        </w:rPr>
        <w:t xml:space="preserve">Document chunking and vector embedding for retrieval-augmented contract intelligence.</w:t>
      </w:r>
    </w:p>
    <w:p>
      <w:pPr>
        <w:spacing w:after="80" w:before="60" w:line="300"/>
        <w:jc w:val="both"/>
      </w:pPr>
      <w:r>
        <w:rPr>
          <w:rFonts w:ascii="Garamond" w:cs="Garamond" w:eastAsia="Garamond" w:hAnsi="Garamond"/>
          <w:color w:val="1A1A1A"/>
          <w:sz w:val="22"/>
          <w:szCs w:val="22"/>
        </w:rPr>
        <w:t xml:space="preserve">For contracts, SPDs, and other long-form documents, chunks at clause boundaries (not arbitrary token windows), generates embeddings, and writes them to the vector store. Every chunk retains a citation anchor to its source PDF. The retrieval-augmented pattern is constrained by an architectural rule: no model output may reference a chunk without rendering the citation. The platform refuses to answer without showing its work.</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M018  </w:t>
      </w:r>
      <w:r>
        <w:rPr>
          <w:rFonts w:ascii="Helvetica Neue" w:cs="Helvetica Neue" w:eastAsia="Helvetica Neue" w:hAnsi="Helvetica Neue"/>
          <w:b/>
          <w:bCs/>
          <w:color w:val="1A1A1A"/>
          <w:sz w:val="24"/>
          <w:szCs w:val="24"/>
        </w:rPr>
        <w:t xml:space="preserve">BatchScheduler</w:t>
      </w:r>
    </w:p>
    <w:p>
      <w:pPr>
        <w:keepNext/>
        <w:spacing w:after="80" w:before="0" w:line="280"/>
      </w:pPr>
      <w:r>
        <w:rPr>
          <w:rFonts w:ascii="Garamond" w:cs="Garamond" w:eastAsia="Garamond" w:hAnsi="Garamond"/>
          <w:i/>
          <w:iCs/>
          <w:color w:val="1A1A1A"/>
          <w:sz w:val="22"/>
          <w:szCs w:val="22"/>
        </w:rPr>
        <w:t xml:space="preserve">Bulk historical import orchestration with checkpoint-restart semantics.</w:t>
      </w:r>
    </w:p>
    <w:p>
      <w:pPr>
        <w:spacing w:after="80" w:before="60" w:line="300"/>
        <w:jc w:val="both"/>
      </w:pPr>
      <w:r>
        <w:rPr>
          <w:rFonts w:ascii="Garamond" w:cs="Garamond" w:eastAsia="Garamond" w:hAnsi="Garamond"/>
          <w:color w:val="1A1A1A"/>
          <w:sz w:val="22"/>
          <w:szCs w:val="22"/>
        </w:rPr>
        <w:t xml:space="preserve">Coordinates large historical loads — for example, five years of monthly carrier extracts — with per-file checkpointing, retry-on-failure with exponential backoff, and isolated failure handling. A failed file fails alone; the surrounding batch continues. The batch layer is what makes the platform's onboarding economics work: a new customer's seven-year history can be ingested in days, not months, with full evidentiary integrity.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M019  </w:t>
      </w:r>
      <w:r>
        <w:rPr>
          <w:rFonts w:ascii="Helvetica Neue" w:cs="Helvetica Neue" w:eastAsia="Helvetica Neue" w:hAnsi="Helvetica Neue"/>
          <w:b/>
          <w:bCs/>
          <w:color w:val="1A1A1A"/>
          <w:sz w:val="24"/>
          <w:szCs w:val="24"/>
        </w:rPr>
        <w:t xml:space="preserve">ProvenanceStamper</w:t>
      </w:r>
    </w:p>
    <w:p>
      <w:pPr>
        <w:keepNext/>
        <w:spacing w:after="80" w:before="0" w:line="280"/>
      </w:pPr>
      <w:r>
        <w:rPr>
          <w:rFonts w:ascii="Garamond" w:cs="Garamond" w:eastAsia="Garamond" w:hAnsi="Garamond"/>
          <w:i/>
          <w:iCs/>
          <w:color w:val="1A1A1A"/>
          <w:sz w:val="22"/>
          <w:szCs w:val="22"/>
        </w:rPr>
        <w:t xml:space="preserve">Source-attribution annotation at canonical-row granularity.</w:t>
      </w:r>
    </w:p>
    <w:p>
      <w:pPr>
        <w:spacing w:after="80" w:before="60" w:line="300"/>
        <w:jc w:val="both"/>
      </w:pPr>
      <w:r>
        <w:rPr>
          <w:rFonts w:ascii="Garamond" w:cs="Garamond" w:eastAsia="Garamond" w:hAnsi="Garamond"/>
          <w:color w:val="1A1A1A"/>
          <w:sz w:val="22"/>
          <w:szCs w:val="22"/>
        </w:rPr>
        <w:t xml:space="preserve">Stamps every canonical row with (source_artifact_id, source_row_offset, ingested_at, ingestion_run_id). This is the metadata that makes the LineageGraph traversable: every canonical fact knows its parents. Without it, the LineageGraph would be a dependency abstraction; with it, the LineageGraph is a physically realizable query.</w:t>
      </w:r>
    </w:p>
    <w:p>
      <w:r>
        <w:br w:type="page"/>
      </w:r>
    </w:p>
    <w:p>
      <w:pPr>
        <w:spacing w:after="60" w:before="80"/>
        <w:jc w:val="left"/>
      </w:pPr>
      <w:r>
        <w:rPr>
          <w:rFonts w:ascii="Consolas" w:cs="Consolas" w:eastAsia="Consolas" w:hAnsi="Consolas"/>
          <w:b w:val="false"/>
          <w:bCs w:val="false"/>
          <w:color w:val="B8893F"/>
          <w:spacing w:val="60"/>
          <w:sz w:val="14"/>
          <w:szCs w:val="14"/>
        </w:rPr>
        <w:t xml:space="preserve">OS-03  ·  LAYER 1  ·  10 MODULES</w:t>
      </w:r>
    </w:p>
    <w:p>
      <w:pPr>
        <w:pStyle w:val="Heading2"/>
        <w:spacing w:after="100" w:before="240"/>
      </w:pPr>
      <w:r>
        <w:rPr>
          <w:rFonts w:ascii="Helvetica Neue" w:cs="Helvetica Neue" w:eastAsia="Helvetica Neue" w:hAnsi="Helvetica Neue"/>
          <w:b/>
          <w:bCs/>
          <w:color w:val="1A1A1A"/>
          <w:sz w:val="32"/>
          <w:szCs w:val="32"/>
        </w:rPr>
        <w:t xml:space="preserve">Workflow &amp; Operations</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factory floor. Cases move from intake through analysis to publication under explicit state machines and explicit service-level commitments. The operating system imports the discipline that distinguishes a production analytics platform from a consultancy: every artifact has a state, every state transition is governed, every promise has a deadline.</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CaseManager</w:t>
      </w:r>
    </w:p>
    <w:p>
      <w:pPr>
        <w:keepNext/>
        <w:spacing w:after="80" w:before="0" w:line="280"/>
      </w:pPr>
      <w:r>
        <w:rPr>
          <w:rFonts w:ascii="Garamond" w:cs="Garamond" w:eastAsia="Garamond" w:hAnsi="Garamond"/>
          <w:i/>
          <w:iCs/>
          <w:color w:val="1A1A1A"/>
          <w:sz w:val="22"/>
          <w:szCs w:val="22"/>
        </w:rPr>
        <w:t xml:space="preserve">The fundamental unit of analytic work; every artifact and every KPI carries a case_id.</w:t>
      </w:r>
    </w:p>
    <w:p>
      <w:pPr>
        <w:spacing w:after="80" w:before="60" w:line="300"/>
        <w:jc w:val="both"/>
      </w:pPr>
      <w:r>
        <w:rPr>
          <w:rFonts w:ascii="Garamond" w:cs="Garamond" w:eastAsia="Garamond" w:hAnsi="Garamond"/>
          <w:color w:val="1A1A1A"/>
          <w:sz w:val="22"/>
          <w:szCs w:val="22"/>
        </w:rPr>
        <w:t xml:space="preserve">A Case is an engagement: a specific employer, a specific scope, a specific clock. The CaseManager handles creation, ownership, assignment, state, and closure. The casework abstraction is what makes operations measurable — throughput, cycle time, defect rate, and reviewer load are all computed at the case level. Strategically, the case is the unit at which the platform's economic model becomes legible: revenue per case, gross margin per case, expansion per case.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StateMachine</w:t>
      </w:r>
    </w:p>
    <w:p>
      <w:pPr>
        <w:keepNext/>
        <w:spacing w:after="80" w:before="0" w:line="280"/>
      </w:pPr>
      <w:r>
        <w:rPr>
          <w:rFonts w:ascii="Garamond" w:cs="Garamond" w:eastAsia="Garamond" w:hAnsi="Garamond"/>
          <w:i/>
          <w:iCs/>
          <w:color w:val="1A1A1A"/>
          <w:sz w:val="22"/>
          <w:szCs w:val="22"/>
        </w:rPr>
        <w:t xml:space="preserve">Enforces the artifact lifecycle as a finite-state automaton with rejection of illegal transitions.</w:t>
      </w:r>
    </w:p>
    <w:p>
      <w:pPr>
        <w:spacing w:after="80" w:before="60" w:line="300"/>
        <w:jc w:val="both"/>
      </w:pPr>
      <w:r>
        <w:rPr>
          <w:rFonts w:ascii="Garamond" w:cs="Garamond" w:eastAsia="Garamond" w:hAnsi="Garamond"/>
          <w:color w:val="1A1A1A"/>
          <w:sz w:val="22"/>
          <w:szCs w:val="22"/>
        </w:rPr>
        <w:t xml:space="preserve">States: CREATED → INTAKE_PENDING → PARSED → NORMALIZED → COMPUTED → REVIEW_REQUIRED → PUBLISHED → VERIFIED → ARCHIVED → SUPERSEDED. Illegal transitions are rejected at the database constraint level — an artifact cannot reach PUBLISHED without traversing REVIEW_REQUIRED, and cannot bypass VERIFIED. The mathematical commitment: no artifact reaches PUBLISHED without verified math or a logged human override. The override is itself a state that triggers review.</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TaskRouter</w:t>
      </w:r>
    </w:p>
    <w:p>
      <w:pPr>
        <w:keepNext/>
        <w:spacing w:after="80" w:before="0" w:line="280"/>
      </w:pPr>
      <w:r>
        <w:rPr>
          <w:rFonts w:ascii="Garamond" w:cs="Garamond" w:eastAsia="Garamond" w:hAnsi="Garamond"/>
          <w:i/>
          <w:iCs/>
          <w:color w:val="1A1A1A"/>
          <w:sz w:val="22"/>
          <w:szCs w:val="22"/>
        </w:rPr>
        <w:t xml:space="preserve">Skill-based work distribution with constraint-aware assignment.</w:t>
      </w:r>
    </w:p>
    <w:p>
      <w:pPr>
        <w:spacing w:after="80" w:before="60" w:line="300"/>
        <w:jc w:val="both"/>
      </w:pPr>
      <w:r>
        <w:rPr>
          <w:rFonts w:ascii="Garamond" w:cs="Garamond" w:eastAsia="Garamond" w:hAnsi="Garamond"/>
          <w:color w:val="1A1A1A"/>
          <w:sz w:val="22"/>
          <w:szCs w:val="22"/>
        </w:rPr>
        <w:t xml:space="preserve">Routes review tasks to humans by role (actuarial, legal, clinical, fiduciary), language, conflict-of-interest constraint, and current workload. PHI-bearing reviews route only to PHI-cleared reviewers; reviews involving vendor X route around any reviewer with a vendor-X conflict on file. The routing layer is how the platform encodes the operational discipline that a high-functioning consulting firm encodes in tacit team norms — but renders it auditable.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QueueManager</w:t>
      </w:r>
    </w:p>
    <w:p>
      <w:pPr>
        <w:keepNext/>
        <w:spacing w:after="80" w:before="0" w:line="280"/>
      </w:pPr>
      <w:r>
        <w:rPr>
          <w:rFonts w:ascii="Garamond" w:cs="Garamond" w:eastAsia="Garamond" w:hAnsi="Garamond"/>
          <w:i/>
          <w:iCs/>
          <w:color w:val="1A1A1A"/>
          <w:sz w:val="22"/>
          <w:szCs w:val="22"/>
        </w:rPr>
        <w:t xml:space="preserve">FIFO with priority lanes and backpressure-aware load balancing.</w:t>
      </w:r>
    </w:p>
    <w:p>
      <w:pPr>
        <w:spacing w:after="80" w:before="60" w:line="300"/>
        <w:jc w:val="both"/>
      </w:pPr>
      <w:r>
        <w:rPr>
          <w:rFonts w:ascii="Garamond" w:cs="Garamond" w:eastAsia="Garamond" w:hAnsi="Garamond"/>
          <w:color w:val="1A1A1A"/>
          <w:sz w:val="22"/>
          <w:szCs w:val="22"/>
        </w:rPr>
        <w:t xml:space="preserve">Operates priority lanes for board-week cases, regulatory deadlines, and M&amp;A diligence on closing clocks. Queue depths are visible to operators in real time; aging cases surface before they decay. The principle: rotting cases are operationally toxic, and any platform that lets them rot silently will eventually publish stale or wrong numbers — so the queue makes rot impossible to ignore.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ApprovalConsole</w:t>
      </w:r>
    </w:p>
    <w:p>
      <w:pPr>
        <w:keepNext/>
        <w:spacing w:after="80" w:before="0" w:line="280"/>
      </w:pPr>
      <w:r>
        <w:rPr>
          <w:rFonts w:ascii="Garamond" w:cs="Garamond" w:eastAsia="Garamond" w:hAnsi="Garamond"/>
          <w:i/>
          <w:iCs/>
          <w:color w:val="1A1A1A"/>
          <w:sz w:val="22"/>
          <w:szCs w:val="22"/>
        </w:rPr>
        <w:t xml:space="preserve">The human-in-the-loop publication gate where reviewers confirm or override automated findings.</w:t>
      </w:r>
    </w:p>
    <w:p>
      <w:pPr>
        <w:spacing w:after="80" w:before="60" w:line="300"/>
        <w:jc w:val="both"/>
      </w:pPr>
      <w:r>
        <w:rPr>
          <w:rFonts w:ascii="Garamond" w:cs="Garamond" w:eastAsia="Garamond" w:hAnsi="Garamond"/>
          <w:color w:val="1A1A1A"/>
          <w:sz w:val="22"/>
          <w:szCs w:val="22"/>
        </w:rPr>
        <w:t xml:space="preserve">Each decision is logged with reviewer_id, timestamp, rationale, and a decision hash that becomes part of the Decision Memory ledger. The console is the explicit point at which human judgment is recorded as evidence rather than absorbed into the publication. In product terms, this is the differentiation against fully autonomous analytics platforms: the platform's confidence is grounded in human-verifiable evidence, but its publication is grounded in human accountability.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ExceptionHandler</w:t>
      </w:r>
    </w:p>
    <w:p>
      <w:pPr>
        <w:keepNext/>
        <w:spacing w:after="80" w:before="0" w:line="280"/>
      </w:pPr>
      <w:r>
        <w:rPr>
          <w:rFonts w:ascii="Garamond" w:cs="Garamond" w:eastAsia="Garamond" w:hAnsi="Garamond"/>
          <w:i/>
          <w:iCs/>
          <w:color w:val="1A1A1A"/>
          <w:sz w:val="22"/>
          <w:szCs w:val="22"/>
        </w:rPr>
        <w:t xml:space="preserve">Structured error capture treating failures as first-class evidence.</w:t>
      </w:r>
    </w:p>
    <w:p>
      <w:pPr>
        <w:spacing w:after="80" w:before="60" w:line="300"/>
        <w:jc w:val="both"/>
      </w:pPr>
      <w:r>
        <w:rPr>
          <w:rFonts w:ascii="Garamond" w:cs="Garamond" w:eastAsia="Garamond" w:hAnsi="Garamond"/>
          <w:color w:val="1A1A1A"/>
          <w:sz w:val="22"/>
          <w:szCs w:val="22"/>
        </w:rPr>
        <w:t xml:space="preserve">When a transform fails, the failure becomes an evidence artifact in its own right, carrying which input, which transform version, which exception class, which stack frame, and which environmental conditions. Failures are catalogued, not hidden. The architectural posture: a failed analysis is more informative than a successful one if the failure is properly characterized, and the platform refuses to discard that information.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ManualOverrideManager</w:t>
      </w:r>
    </w:p>
    <w:p>
      <w:pPr>
        <w:keepNext/>
        <w:spacing w:after="80" w:before="0" w:line="280"/>
      </w:pPr>
      <w:r>
        <w:rPr>
          <w:rFonts w:ascii="Garamond" w:cs="Garamond" w:eastAsia="Garamond" w:hAnsi="Garamond"/>
          <w:i/>
          <w:iCs/>
          <w:color w:val="1A1A1A"/>
          <w:sz w:val="22"/>
          <w:szCs w:val="22"/>
        </w:rPr>
        <w:t xml:space="preserve">Governed override mechanism with explicit cost and automatic expiration.</w:t>
      </w:r>
    </w:p>
    <w:p>
      <w:pPr>
        <w:spacing w:after="80" w:before="60" w:line="300"/>
        <w:jc w:val="both"/>
      </w:pPr>
      <w:r>
        <w:rPr>
          <w:rFonts w:ascii="Garamond" w:cs="Garamond" w:eastAsia="Garamond" w:hAnsi="Garamond"/>
          <w:color w:val="1A1A1A"/>
          <w:sz w:val="22"/>
          <w:szCs w:val="22"/>
        </w:rPr>
        <w:t xml:space="preserve">When a reviewer must override an automated finding — disabling a policy check, accepting a low-confidence value, suspending a freshness requirement — the override is recorded with rationale, sign-off, expected duration, and an automatic re-review date. Overrides cannot be silent. Overrides cannot be permanent without explicit renewal. Overrides cannot accumulate without being surfaced to governance. This is how the platform avoids the chronic failure mode in which 'temporary' workarounds become permanent technical debt.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SLAEngine</w:t>
      </w:r>
    </w:p>
    <w:p>
      <w:pPr>
        <w:keepNext/>
        <w:spacing w:after="80" w:before="0" w:line="280"/>
      </w:pPr>
      <w:r>
        <w:rPr>
          <w:rFonts w:ascii="Garamond" w:cs="Garamond" w:eastAsia="Garamond" w:hAnsi="Garamond"/>
          <w:i/>
          <w:iCs/>
          <w:color w:val="1A1A1A"/>
          <w:sz w:val="22"/>
          <w:szCs w:val="22"/>
        </w:rPr>
        <w:t xml:space="preserve">Time-based commitment tracking with pre-breach alerting.</w:t>
      </w:r>
    </w:p>
    <w:p>
      <w:pPr>
        <w:spacing w:after="80" w:before="60" w:line="300"/>
        <w:jc w:val="both"/>
      </w:pPr>
      <w:r>
        <w:rPr>
          <w:rFonts w:ascii="Garamond" w:cs="Garamond" w:eastAsia="Garamond" w:hAnsi="Garamond"/>
          <w:color w:val="1A1A1A"/>
          <w:sz w:val="22"/>
          <w:szCs w:val="22"/>
        </w:rPr>
        <w:t xml:space="preserve">Tracks operational service-level commitments — evidence bundle generation in ≤15 minutes, board pack delivery in ≤72 hours, vendor packet response window of ≤21 days — and emits warnings before SLA breach occurs. Misses generate alerts before they become incidents. The SLAEngine is how the platform earns the right to call itself infrastructure rather than software: infrastructure has uptime; software has versions.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M009  </w:t>
      </w:r>
      <w:r>
        <w:rPr>
          <w:rFonts w:ascii="Helvetica Neue" w:cs="Helvetica Neue" w:eastAsia="Helvetica Neue" w:hAnsi="Helvetica Neue"/>
          <w:b/>
          <w:bCs/>
          <w:color w:val="1A1A1A"/>
          <w:sz w:val="24"/>
          <w:szCs w:val="24"/>
        </w:rPr>
        <w:t xml:space="preserve">Notifications</w:t>
      </w:r>
    </w:p>
    <w:p>
      <w:pPr>
        <w:keepNext/>
        <w:spacing w:after="80" w:before="0" w:line="280"/>
      </w:pPr>
      <w:r>
        <w:rPr>
          <w:rFonts w:ascii="Garamond" w:cs="Garamond" w:eastAsia="Garamond" w:hAnsi="Garamond"/>
          <w:i/>
          <w:iCs/>
          <w:color w:val="1A1A1A"/>
          <w:sz w:val="22"/>
          <w:szCs w:val="22"/>
        </w:rPr>
        <w:t xml:space="preserve">Multi-channel reviewer signaling routed by role, severity, and urgency.</w:t>
      </w:r>
    </w:p>
    <w:p>
      <w:pPr>
        <w:spacing w:after="80" w:before="60" w:line="300"/>
        <w:jc w:val="both"/>
      </w:pPr>
      <w:r>
        <w:rPr>
          <w:rFonts w:ascii="Garamond" w:cs="Garamond" w:eastAsia="Garamond" w:hAnsi="Garamond"/>
          <w:color w:val="1A1A1A"/>
          <w:sz w:val="22"/>
          <w:szCs w:val="22"/>
        </w:rPr>
        <w:t xml:space="preserve">Delivers via email, Slack, and in-app notification with deduplication, escalation on SLA breach, and suppression when redundant. Designed not to be ignored. The signal-to-noise ratio of the notification stream is itself a platform quality metric: too noisy and reviewers tune it out, too quiet and SLAs slip silently.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M010  </w:t>
      </w:r>
      <w:r>
        <w:rPr>
          <w:rFonts w:ascii="Helvetica Neue" w:cs="Helvetica Neue" w:eastAsia="Helvetica Neue" w:hAnsi="Helvetica Neue"/>
          <w:b/>
          <w:bCs/>
          <w:color w:val="1A1A1A"/>
          <w:sz w:val="24"/>
          <w:szCs w:val="24"/>
        </w:rPr>
        <w:t xml:space="preserve">OpsTelemetryEmitter</w:t>
      </w:r>
    </w:p>
    <w:p>
      <w:pPr>
        <w:keepNext/>
        <w:spacing w:after="80" w:before="0" w:line="280"/>
      </w:pPr>
      <w:r>
        <w:rPr>
          <w:rFonts w:ascii="Garamond" w:cs="Garamond" w:eastAsia="Garamond" w:hAnsi="Garamond"/>
          <w:i/>
          <w:iCs/>
          <w:color w:val="1A1A1A"/>
          <w:sz w:val="22"/>
          <w:szCs w:val="22"/>
        </w:rPr>
        <w:t xml:space="preserve">Operational metrics emission to Prometheus and OpenTelemetry.</w:t>
      </w:r>
    </w:p>
    <w:p>
      <w:pPr>
        <w:spacing w:after="80" w:before="60" w:line="300"/>
        <w:jc w:val="both"/>
      </w:pPr>
      <w:r>
        <w:rPr>
          <w:rFonts w:ascii="Garamond" w:cs="Garamond" w:eastAsia="Garamond" w:hAnsi="Garamond"/>
          <w:color w:val="1A1A1A"/>
          <w:sz w:val="22"/>
          <w:szCs w:val="22"/>
        </w:rPr>
        <w:t xml:space="preserve">Throughput, latency, error rate, queue depth, and reviewer cycle time emitted as structured metrics to the platform's observability stack. The principle is straightforward: the platform's own vitals are themselves observable evidence, and any operational failure must be detectable from the metrics alone, without requiring access to logs or source code. Self-observability is a non-negotiable property of infrastructure-class systems.</w:t>
      </w:r>
    </w:p>
    <w:p>
      <w:r>
        <w:br w:type="page"/>
      </w:r>
    </w:p>
    <w:p>
      <w:pPr>
        <w:spacing w:after="60" w:before="80"/>
        <w:jc w:val="left"/>
      </w:pPr>
      <w:r>
        <w:rPr>
          <w:rFonts w:ascii="Consolas" w:cs="Consolas" w:eastAsia="Consolas" w:hAnsi="Consolas"/>
          <w:b w:val="false"/>
          <w:bCs w:val="false"/>
          <w:color w:val="B8893F"/>
          <w:spacing w:val="60"/>
          <w:sz w:val="14"/>
          <w:szCs w:val="14"/>
        </w:rPr>
        <w:t xml:space="preserve">OS-04  ·  LAYER 1  ·  13 MODULES</w:t>
      </w:r>
    </w:p>
    <w:p>
      <w:pPr>
        <w:pStyle w:val="Heading2"/>
        <w:spacing w:after="100" w:before="240"/>
      </w:pPr>
      <w:r>
        <w:rPr>
          <w:rFonts w:ascii="Helvetica Neue" w:cs="Helvetica Neue" w:eastAsia="Helvetica Neue" w:hAnsi="Helvetica Neue"/>
          <w:b/>
          <w:bCs/>
          <w:color w:val="1A1A1A"/>
          <w:sz w:val="32"/>
          <w:szCs w:val="32"/>
        </w:rPr>
        <w:t xml:space="preserve">Health Plan Intelligence</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fiduciary microscope on the medical plan. The operating system effects an epistemic upgrade: the question 'we spent a lot on healthcare' becomes the answerable, decomposable, defensible question 'we spent $X PEPM, of which $Y is structural leakage and $Z is preventable.' Every module in this OS is a primitive in that decomposition.</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PlanIdentitySummary</w:t>
      </w:r>
    </w:p>
    <w:p>
      <w:pPr>
        <w:keepNext/>
        <w:spacing w:after="80" w:before="0" w:line="280"/>
      </w:pPr>
      <w:r>
        <w:rPr>
          <w:rFonts w:ascii="Garamond" w:cs="Garamond" w:eastAsia="Garamond" w:hAnsi="Garamond"/>
          <w:i/>
          <w:iCs/>
          <w:color w:val="1A1A1A"/>
          <w:sz w:val="22"/>
          <w:szCs w:val="22"/>
        </w:rPr>
        <w:t xml:space="preserve">Canonical plan-of-record manifest; the face sheet every other OS-04 module references.</w:t>
      </w:r>
    </w:p>
    <w:p>
      <w:pPr>
        <w:spacing w:after="80" w:before="60" w:line="300"/>
        <w:jc w:val="both"/>
      </w:pPr>
      <w:r>
        <w:rPr>
          <w:rFonts w:ascii="Garamond" w:cs="Garamond" w:eastAsia="Garamond" w:hAnsi="Garamond"/>
          <w:color w:val="1A1A1A"/>
          <w:sz w:val="22"/>
          <w:szCs w:val="22"/>
        </w:rPr>
        <w:t xml:space="preserve">Records plan year, funding type (fully insured, level-funded, self-funded), carrier, TPA, network, stop-loss carrier and attachment points, ASO fee, plan-design tier, and the executed governance documents. The manifest is the authoritative source for plan-structure facts — every downstream calculation that depends on funding type, attachment point, or network type queries here, not against potentially-stale slides from a broker's renewal deck.</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ParticipationTrend</w:t>
      </w:r>
    </w:p>
    <w:p>
      <w:pPr>
        <w:keepNext/>
        <w:spacing w:after="80" w:before="0" w:line="280"/>
      </w:pPr>
      <w:r>
        <w:rPr>
          <w:rFonts w:ascii="Garamond" w:cs="Garamond" w:eastAsia="Garamond" w:hAnsi="Garamond"/>
          <w:i/>
          <w:iCs/>
          <w:color w:val="1A1A1A"/>
          <w:sz w:val="22"/>
          <w:szCs w:val="22"/>
        </w:rPr>
        <w:t xml:space="preserve">Authoritative member-month rollup using half-open interval arithmetic with overlap caps.</w:t>
      </w:r>
    </w:p>
    <w:p>
      <w:pPr>
        <w:spacing w:after="80" w:before="60" w:line="300"/>
        <w:jc w:val="both"/>
      </w:pPr>
      <w:r>
        <w:rPr>
          <w:rFonts w:ascii="Garamond" w:cs="Garamond" w:eastAsia="Garamond" w:hAnsi="Garamond"/>
          <w:color w:val="1A1A1A"/>
          <w:sz w:val="22"/>
          <w:szCs w:val="22"/>
        </w:rPr>
        <w:t xml:space="preserve">Computes member-months from eligibility data with mathematically rigorous interval semantics: half-open intervals, per-member-per-month caps, explicit handling of mid-month enrollment and termination. The PEPM denominator is computed deterministically rather than estimated. This is the architectural foundation of the Hardening Framework v2: the denominator side of every per-member metric is provably correct, which is the precondition for the platform's broader determinism claims.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FinancialsPEPMPEPY</w:t>
      </w:r>
    </w:p>
    <w:p>
      <w:pPr>
        <w:keepNext/>
        <w:spacing w:after="80" w:before="0" w:line="280"/>
      </w:pPr>
      <w:r>
        <w:rPr>
          <w:rFonts w:ascii="Garamond" w:cs="Garamond" w:eastAsia="Garamond" w:hAnsi="Garamond"/>
          <w:i/>
          <w:iCs/>
          <w:color w:val="1A1A1A"/>
          <w:sz w:val="22"/>
          <w:szCs w:val="22"/>
        </w:rPr>
        <w:t xml:space="preserve">Per-employee-per-month and per-year economic computation with deterministic recomputability.</w:t>
      </w:r>
    </w:p>
    <w:p>
      <w:pPr>
        <w:spacing w:after="80" w:before="60" w:line="300"/>
        <w:jc w:val="both"/>
      </w:pPr>
      <w:r>
        <w:rPr>
          <w:rFonts w:ascii="Garamond" w:cs="Garamond" w:eastAsia="Garamond" w:hAnsi="Garamond"/>
          <w:color w:val="1A1A1A"/>
          <w:sz w:val="22"/>
          <w:szCs w:val="22"/>
        </w:rPr>
        <w:t xml:space="preserve">Computes PEPM = H ÷ (M × P), where H is total spend, M is members, and P is plan months. PEPM is the anchor variable for every volatility model, every benchmark comparison, and every EBITDA sensitivity calculation in the platform. The architectural commitment is that PEPM computed today and PEPM recomputed five years from now will produce identical numbers — because the inputs are hash-stamped and the transform is registered. PEPM becomes a fact rather than an estimate.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TrendDecomposition</w:t>
      </w:r>
    </w:p>
    <w:p>
      <w:pPr>
        <w:keepNext/>
        <w:spacing w:after="80" w:before="0" w:line="280"/>
      </w:pPr>
      <w:r>
        <w:rPr>
          <w:rFonts w:ascii="Garamond" w:cs="Garamond" w:eastAsia="Garamond" w:hAnsi="Garamond"/>
          <w:i/>
          <w:iCs/>
          <w:color w:val="1A1A1A"/>
          <w:sz w:val="22"/>
          <w:szCs w:val="22"/>
        </w:rPr>
        <w:t xml:space="preserve">Year-over-year change attribution via principled mathematical decomposition.</w:t>
      </w:r>
    </w:p>
    <w:p>
      <w:pPr>
        <w:spacing w:after="80" w:before="60" w:line="300"/>
        <w:jc w:val="both"/>
      </w:pPr>
      <w:r>
        <w:rPr>
          <w:rFonts w:ascii="Garamond" w:cs="Garamond" w:eastAsia="Garamond" w:hAnsi="Garamond"/>
          <w:color w:val="1A1A1A"/>
          <w:sz w:val="22"/>
          <w:szCs w:val="22"/>
        </w:rPr>
        <w:t xml:space="preserve">Decomposes ΔPEPM into four components: utilization Δ, unit-price Δ, mix Δ, and one-time-event Δ. Each component is computed via a registered transform with full lineage. The output replaces trend talk with mathematics: when a CFO asks 'why did healthcare cost rise eleven percent?' the platform returns a waterfall, not a shrug. In product terms, this is what makes healthcare a finance-board topic rather than an HR-committee topic.</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ClaimsDriverAttribution</w:t>
      </w:r>
    </w:p>
    <w:p>
      <w:pPr>
        <w:keepNext/>
        <w:spacing w:after="80" w:before="0" w:line="280"/>
      </w:pPr>
      <w:r>
        <w:rPr>
          <w:rFonts w:ascii="Garamond" w:cs="Garamond" w:eastAsia="Garamond" w:hAnsi="Garamond"/>
          <w:i/>
          <w:iCs/>
          <w:color w:val="1A1A1A"/>
          <w:sz w:val="22"/>
          <w:szCs w:val="22"/>
        </w:rPr>
        <w:t xml:space="preserve">Top-claimant and top-condition decomposition with concentration analytics.</w:t>
      </w:r>
    </w:p>
    <w:p>
      <w:pPr>
        <w:spacing w:after="80" w:before="60" w:line="300"/>
        <w:jc w:val="both"/>
      </w:pPr>
      <w:r>
        <w:rPr>
          <w:rFonts w:ascii="Garamond" w:cs="Garamond" w:eastAsia="Garamond" w:hAnsi="Garamond"/>
          <w:color w:val="1A1A1A"/>
          <w:sz w:val="22"/>
          <w:szCs w:val="22"/>
        </w:rPr>
        <w:t xml:space="preserve">Computes the distribution of plan spend across claimant deciles, the top-10 conditions by aggregate cost, the top-25 NDCs, and the site-of-service mix. The output is the contour map of risk: where the dollars actually went. The decomposition makes catastrophic-claimant economics legible to a finance audience and underwrites stop-loss attachment-point analysis.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UtilizationPatterns</w:t>
      </w:r>
    </w:p>
    <w:p>
      <w:pPr>
        <w:keepNext/>
        <w:spacing w:after="80" w:before="0" w:line="280"/>
      </w:pPr>
      <w:r>
        <w:rPr>
          <w:rFonts w:ascii="Garamond" w:cs="Garamond" w:eastAsia="Garamond" w:hAnsi="Garamond"/>
          <w:i/>
          <w:iCs/>
          <w:color w:val="1A1A1A"/>
          <w:sz w:val="22"/>
          <w:szCs w:val="22"/>
        </w:rPr>
        <w:t xml:space="preserve">Service-line utilization analytics computed against normalized denominators.</w:t>
      </w:r>
    </w:p>
    <w:p>
      <w:pPr>
        <w:spacing w:after="80" w:before="60" w:line="300"/>
        <w:jc w:val="both"/>
      </w:pPr>
      <w:r>
        <w:rPr>
          <w:rFonts w:ascii="Garamond" w:cs="Garamond" w:eastAsia="Garamond" w:hAnsi="Garamond"/>
          <w:color w:val="1A1A1A"/>
          <w:sz w:val="22"/>
          <w:szCs w:val="22"/>
        </w:rPr>
        <w:t xml:space="preserve">Emergency-department visits per 1,000 members, inpatient admits per 1,000, specialist-visit ratios, advanced-imaging rates, ambulatory-vs-hospital-outpatient mix. The behavioral signal beneath the financial outcome. Utilization patterns are diagnostic: a spend spike with flat utilization indicates unit-price drift; a spend spike with rising utilization indicates clinical or population change. The platform reports both signals and the joint distribution, not the spend alone.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HighCostConcentration</w:t>
      </w:r>
    </w:p>
    <w:p>
      <w:pPr>
        <w:keepNext/>
        <w:spacing w:after="80" w:before="0" w:line="280"/>
      </w:pPr>
      <w:r>
        <w:rPr>
          <w:rFonts w:ascii="Garamond" w:cs="Garamond" w:eastAsia="Garamond" w:hAnsi="Garamond"/>
          <w:i/>
          <w:iCs/>
          <w:color w:val="1A1A1A"/>
          <w:sz w:val="22"/>
          <w:szCs w:val="22"/>
        </w:rPr>
        <w:t xml:space="preserve">Catastrophic-claimant geometry with Monte Carlo stop-loss adequacy testing.</w:t>
      </w:r>
    </w:p>
    <w:p>
      <w:pPr>
        <w:spacing w:after="80" w:before="60" w:line="300"/>
        <w:jc w:val="both"/>
      </w:pPr>
      <w:r>
        <w:rPr>
          <w:rFonts w:ascii="Garamond" w:cs="Garamond" w:eastAsia="Garamond" w:hAnsi="Garamond"/>
          <w:color w:val="1A1A1A"/>
          <w:sz w:val="22"/>
          <w:szCs w:val="22"/>
        </w:rPr>
        <w:t xml:space="preserve">Computes the distribution of plan spend across claimant deciles and percentiles, identifies emerging catastrophic claimants (new oncology, gene therapy initiation, transplant qualification) before they breach stop-loss attachment, and runs Monte Carlo simulation against stop-loss contract terms to test attachment-point adequacy. The output is the early-warning system for the class of events that destabilize self-funded plans at the EBITDA level.</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NetworkOONExposure</w:t>
      </w:r>
    </w:p>
    <w:p>
      <w:pPr>
        <w:keepNext/>
        <w:spacing w:after="80" w:before="0" w:line="280"/>
      </w:pPr>
      <w:r>
        <w:rPr>
          <w:rFonts w:ascii="Garamond" w:cs="Garamond" w:eastAsia="Garamond" w:hAnsi="Garamond"/>
          <w:i/>
          <w:iCs/>
          <w:color w:val="1A1A1A"/>
          <w:sz w:val="22"/>
          <w:szCs w:val="22"/>
        </w:rPr>
        <w:t xml:space="preserve">Out-of-network leakage quantification with surprise-billing-act applicability scoring.</w:t>
      </w:r>
    </w:p>
    <w:p>
      <w:pPr>
        <w:spacing w:after="80" w:before="60" w:line="300"/>
        <w:jc w:val="both"/>
      </w:pPr>
      <w:r>
        <w:rPr>
          <w:rFonts w:ascii="Garamond" w:cs="Garamond" w:eastAsia="Garamond" w:hAnsi="Garamond"/>
          <w:color w:val="1A1A1A"/>
          <w:sz w:val="22"/>
          <w:szCs w:val="22"/>
        </w:rPr>
        <w:t xml:space="preserve">Quantifies dollars and visits flowing to non-network providers, balance-billing exposure, No Surprises Act applicability, and the dollar value of network-steering interventions. Translates the abstract concept of 'network leakage' into a tractable initiative-portfolio entry with a dollar value and a confidence range — which is the language a CFO can act 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M009  </w:t>
      </w:r>
      <w:r>
        <w:rPr>
          <w:rFonts w:ascii="Helvetica Neue" w:cs="Helvetica Neue" w:eastAsia="Helvetica Neue" w:hAnsi="Helvetica Neue"/>
          <w:b/>
          <w:bCs/>
          <w:color w:val="1A1A1A"/>
          <w:sz w:val="24"/>
          <w:szCs w:val="24"/>
        </w:rPr>
        <w:t xml:space="preserve">SiteOfCareOpportunities</w:t>
      </w:r>
    </w:p>
    <w:p>
      <w:pPr>
        <w:keepNext/>
        <w:spacing w:after="80" w:before="0" w:line="280"/>
      </w:pPr>
      <w:r>
        <w:rPr>
          <w:rFonts w:ascii="Garamond" w:cs="Garamond" w:eastAsia="Garamond" w:hAnsi="Garamond"/>
          <w:i/>
          <w:iCs/>
          <w:color w:val="1A1A1A"/>
          <w:sz w:val="22"/>
          <w:szCs w:val="22"/>
        </w:rPr>
        <w:t xml:space="preserve">Setting-of-service optimization with clinical-appropriateness scoring.</w:t>
      </w:r>
    </w:p>
    <w:p>
      <w:pPr>
        <w:spacing w:after="80" w:before="60" w:line="300"/>
        <w:jc w:val="both"/>
      </w:pPr>
      <w:r>
        <w:rPr>
          <w:rFonts w:ascii="Garamond" w:cs="Garamond" w:eastAsia="Garamond" w:hAnsi="Garamond"/>
          <w:color w:val="1A1A1A"/>
          <w:sz w:val="22"/>
          <w:szCs w:val="22"/>
        </w:rPr>
        <w:t xml:space="preserve">Identifies infusions, advanced imaging, and surgical procedures performed at hospital-outpatient sites that are clinically appropriate at ambulatory or freestanding facilities. Quantifies the savings opportunity in dollars while explicitly modeling member-friction cost — the Notre-Dame-grade humanitarian discipline embedded in the platform's optimization function. Optimization that ignores member experience is not optimization; it is cost-shifting in disguise.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M010  </w:t>
      </w:r>
      <w:r>
        <w:rPr>
          <w:rFonts w:ascii="Helvetica Neue" w:cs="Helvetica Neue" w:eastAsia="Helvetica Neue" w:hAnsi="Helvetica Neue"/>
          <w:b/>
          <w:bCs/>
          <w:color w:val="1A1A1A"/>
          <w:sz w:val="24"/>
          <w:szCs w:val="24"/>
        </w:rPr>
        <w:t xml:space="preserve">VendorFeeLedger</w:t>
      </w:r>
    </w:p>
    <w:p>
      <w:pPr>
        <w:keepNext/>
        <w:spacing w:after="80" w:before="0" w:line="280"/>
      </w:pPr>
      <w:r>
        <w:rPr>
          <w:rFonts w:ascii="Garamond" w:cs="Garamond" w:eastAsia="Garamond" w:hAnsi="Garamond"/>
          <w:i/>
          <w:iCs/>
          <w:color w:val="1A1A1A"/>
          <w:sz w:val="22"/>
          <w:szCs w:val="22"/>
        </w:rPr>
        <w:t xml:space="preserve">Administrative fee transparency at line-item granularity.</w:t>
      </w:r>
    </w:p>
    <w:p>
      <w:pPr>
        <w:spacing w:after="80" w:before="60" w:line="300"/>
        <w:jc w:val="both"/>
      </w:pPr>
      <w:r>
        <w:rPr>
          <w:rFonts w:ascii="Garamond" w:cs="Garamond" w:eastAsia="Garamond" w:hAnsi="Garamond"/>
          <w:color w:val="1A1A1A"/>
          <w:sz w:val="22"/>
          <w:szCs w:val="22"/>
        </w:rPr>
        <w:t xml:space="preserve">Reconciles ASO fees, network access fees, care-management fees, utilization-review fees, broker commissions, and the structural spread between disclosed and actually-paid amounts. The ledger is the end of the rhetorical question 'what are we actually paying for?' — every dollar of administrative fee resolves to a contract clause, a service description, and a comparable benchmark from the federated network.</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M011  </w:t>
      </w:r>
      <w:r>
        <w:rPr>
          <w:rFonts w:ascii="Helvetica Neue" w:cs="Helvetica Neue" w:eastAsia="Helvetica Neue" w:hAnsi="Helvetica Neue"/>
          <w:b/>
          <w:bCs/>
          <w:color w:val="1A1A1A"/>
          <w:sz w:val="24"/>
          <w:szCs w:val="24"/>
        </w:rPr>
        <w:t xml:space="preserve">StopLossRiskSignals</w:t>
      </w:r>
    </w:p>
    <w:p>
      <w:pPr>
        <w:keepNext/>
        <w:spacing w:after="80" w:before="0" w:line="280"/>
      </w:pPr>
      <w:r>
        <w:rPr>
          <w:rFonts w:ascii="Garamond" w:cs="Garamond" w:eastAsia="Garamond" w:hAnsi="Garamond"/>
          <w:i/>
          <w:iCs/>
          <w:color w:val="1A1A1A"/>
          <w:sz w:val="22"/>
          <w:szCs w:val="22"/>
        </w:rPr>
        <w:t xml:space="preserve">Reinsurance position monitoring with adversarial scenario modeling.</w:t>
      </w:r>
    </w:p>
    <w:p>
      <w:pPr>
        <w:spacing w:after="80" w:before="60" w:line="300"/>
        <w:jc w:val="both"/>
      </w:pPr>
      <w:r>
        <w:rPr>
          <w:rFonts w:ascii="Garamond" w:cs="Garamond" w:eastAsia="Garamond" w:hAnsi="Garamond"/>
          <w:color w:val="1A1A1A"/>
          <w:sz w:val="22"/>
          <w:szCs w:val="22"/>
        </w:rPr>
        <w:t xml:space="preserve">Tests attachment-point adequacy under Monte Carlo scenarios incorporating GLP-1 trajectory, gene-therapy claim probability, and catastrophic-event correlation. Models laser application, aggregating specifics, and the actuarial honesty of declaring when a stop-loss contract is structurally underpriced for the underlying risk. The output drives renewal strategy and reinsurance restructuring.</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M012  </w:t>
      </w:r>
      <w:r>
        <w:rPr>
          <w:rFonts w:ascii="Helvetica Neue" w:cs="Helvetica Neue" w:eastAsia="Helvetica Neue" w:hAnsi="Helvetica Neue"/>
          <w:b/>
          <w:bCs/>
          <w:color w:val="1A1A1A"/>
          <w:sz w:val="24"/>
          <w:szCs w:val="24"/>
        </w:rPr>
        <w:t xml:space="preserve">ComplianceSignals5500</w:t>
      </w:r>
    </w:p>
    <w:p>
      <w:pPr>
        <w:keepNext/>
        <w:spacing w:after="80" w:before="0" w:line="280"/>
      </w:pPr>
      <w:r>
        <w:rPr>
          <w:rFonts w:ascii="Garamond" w:cs="Garamond" w:eastAsia="Garamond" w:hAnsi="Garamond"/>
          <w:i/>
          <w:iCs/>
          <w:color w:val="1A1A1A"/>
          <w:sz w:val="22"/>
          <w:szCs w:val="22"/>
        </w:rPr>
        <w:t xml:space="preserve">DOL Form 5500 cross-reference against the 757K-row federal database.</w:t>
      </w:r>
    </w:p>
    <w:p>
      <w:pPr>
        <w:spacing w:after="80" w:before="60" w:line="300"/>
        <w:jc w:val="both"/>
      </w:pPr>
      <w:r>
        <w:rPr>
          <w:rFonts w:ascii="Garamond" w:cs="Garamond" w:eastAsia="Garamond" w:hAnsi="Garamond"/>
          <w:color w:val="1A1A1A"/>
          <w:sz w:val="22"/>
          <w:szCs w:val="22"/>
        </w:rPr>
        <w:t xml:space="preserve">Joins live plan data to the platform's indexed 5500 corpus (64 files, 11 schedule types, 757,294 rows) and flags inconsistencies between federal filings and operational reality. The class of mismatch that becomes a DOL audit finding. This module is the platform's distinctive forensic asset: most analytics platforms cannot query the federal filings; Kincaid IQ does so as a first-class operation.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M013  </w:t>
      </w:r>
      <w:r>
        <w:rPr>
          <w:rFonts w:ascii="Helvetica Neue" w:cs="Helvetica Neue" w:eastAsia="Helvetica Neue" w:hAnsi="Helvetica Neue"/>
          <w:b/>
          <w:bCs/>
          <w:color w:val="1A1A1A"/>
          <w:sz w:val="24"/>
          <w:szCs w:val="24"/>
        </w:rPr>
        <w:t xml:space="preserve">BenchmarkIndexing</w:t>
      </w:r>
    </w:p>
    <w:p>
      <w:pPr>
        <w:keepNext/>
        <w:spacing w:after="80" w:before="0" w:line="280"/>
      </w:pPr>
      <w:r>
        <w:rPr>
          <w:rFonts w:ascii="Garamond" w:cs="Garamond" w:eastAsia="Garamond" w:hAnsi="Garamond"/>
          <w:i/>
          <w:iCs/>
          <w:color w:val="1A1A1A"/>
          <w:sz w:val="22"/>
          <w:szCs w:val="22"/>
        </w:rPr>
        <w:t xml:space="preserve">Federated cohort-relative positioning via OS-19 privacy-preserving aggregation.</w:t>
      </w:r>
    </w:p>
    <w:p>
      <w:pPr>
        <w:spacing w:after="80" w:before="60" w:line="300"/>
        <w:jc w:val="both"/>
      </w:pPr>
      <w:r>
        <w:rPr>
          <w:rFonts w:ascii="Garamond" w:cs="Garamond" w:eastAsia="Garamond" w:hAnsi="Garamond"/>
          <w:color w:val="1A1A1A"/>
          <w:sz w:val="22"/>
          <w:szCs w:val="22"/>
        </w:rPr>
        <w:t xml:space="preserve">Computes the employer's PEPM, trend, claim-mix, and structural metrics against industry / size / geography cohorts using federated benchmarking. Returns the employer's quartile, decile, and peer rank with explicit cohort size and freshness disclosure. Tells the board where it sits — a piece of information almost universally absent from healthcare conversations, and almost universally consequential to capital-allocation decisions.</w:t>
      </w:r>
    </w:p>
    <w:p>
      <w:r>
        <w:br w:type="page"/>
      </w:r>
    </w:p>
    <w:p>
      <w:pPr>
        <w:spacing w:after="60" w:before="80"/>
        <w:jc w:val="left"/>
      </w:pPr>
      <w:r>
        <w:rPr>
          <w:rFonts w:ascii="Consolas" w:cs="Consolas" w:eastAsia="Consolas" w:hAnsi="Consolas"/>
          <w:b w:val="false"/>
          <w:bCs w:val="false"/>
          <w:color w:val="B8893F"/>
          <w:spacing w:val="60"/>
          <w:sz w:val="14"/>
          <w:szCs w:val="14"/>
        </w:rPr>
        <w:t xml:space="preserve">OS-05  ·  LAYER 1  ·  8 MODULES</w:t>
      </w:r>
    </w:p>
    <w:p>
      <w:pPr>
        <w:pStyle w:val="Heading2"/>
        <w:spacing w:after="100" w:before="240"/>
      </w:pPr>
      <w:r>
        <w:rPr>
          <w:rFonts w:ascii="Helvetica Neue" w:cs="Helvetica Neue" w:eastAsia="Helvetica Neue" w:hAnsi="Helvetica Neue"/>
          <w:b/>
          <w:bCs/>
          <w:color w:val="1A1A1A"/>
          <w:sz w:val="32"/>
          <w:szCs w:val="32"/>
        </w:rPr>
        <w:t xml:space="preserve">Pharmacy / PBM Intelligence</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platform's sharpest edge. PBM opacity is, mechanistically, an information-asymmetry problem; this operating system reduces the asymmetry by reconciling every claim against contractual promises using deterministic computation. The product hypothesis: where the math is irrefutable, the dollars come home.</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RxSpendDecomposition</w:t>
      </w:r>
    </w:p>
    <w:p>
      <w:pPr>
        <w:keepNext/>
        <w:spacing w:after="80" w:before="0" w:line="280"/>
      </w:pPr>
      <w:r>
        <w:rPr>
          <w:rFonts w:ascii="Garamond" w:cs="Garamond" w:eastAsia="Garamond" w:hAnsi="Garamond"/>
          <w:i/>
          <w:iCs/>
          <w:color w:val="1A1A1A"/>
          <w:sz w:val="22"/>
          <w:szCs w:val="22"/>
        </w:rPr>
        <w:t xml:space="preserve">Drug-spend anatomy with channel, tier, and therapeutic-class attribution.</w:t>
      </w:r>
    </w:p>
    <w:p>
      <w:pPr>
        <w:spacing w:after="80" w:before="60" w:line="300"/>
        <w:jc w:val="both"/>
      </w:pPr>
      <w:r>
        <w:rPr>
          <w:rFonts w:ascii="Garamond" w:cs="Garamond" w:eastAsia="Garamond" w:hAnsi="Garamond"/>
          <w:color w:val="1A1A1A"/>
          <w:sz w:val="22"/>
          <w:szCs w:val="22"/>
        </w:rPr>
        <w:t xml:space="preserve">Decomposes Rx spend into brand vs generic vs specialty, retail vs mail-order vs specialty channel, top-25 therapeutic classes, top-100 NDCs, and member concentration. Every pharmacy review begins here. The decomposition is the diagnostic primitive: structural problems show up as anomalous distributions long before they show up as headline cost growth.</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SpecialtyDrivers</w:t>
      </w:r>
    </w:p>
    <w:p>
      <w:pPr>
        <w:keepNext/>
        <w:spacing w:after="80" w:before="0" w:line="280"/>
      </w:pPr>
      <w:r>
        <w:rPr>
          <w:rFonts w:ascii="Garamond" w:cs="Garamond" w:eastAsia="Garamond" w:hAnsi="Garamond"/>
          <w:i/>
          <w:iCs/>
          <w:color w:val="1A1A1A"/>
          <w:sz w:val="22"/>
          <w:szCs w:val="22"/>
        </w:rPr>
        <w:t xml:space="preserve">Specialty-tier risk model with new-start velocity and class-mix trajectory.</w:t>
      </w:r>
    </w:p>
    <w:p>
      <w:pPr>
        <w:spacing w:after="80" w:before="60" w:line="300"/>
        <w:jc w:val="both"/>
      </w:pPr>
      <w:r>
        <w:rPr>
          <w:rFonts w:ascii="Garamond" w:cs="Garamond" w:eastAsia="Garamond" w:hAnsi="Garamond"/>
          <w:color w:val="1A1A1A"/>
          <w:sz w:val="22"/>
          <w:szCs w:val="22"/>
        </w:rPr>
        <w:t xml:space="preserve">Tracks specialty spend trajectory, new-start velocity, autoimmune / oncology / rare-disease mix, biosimilar penetration, and channel-of-dispense distribution. Specialty is where most self-funded plans lose the next marginal dollar; this module is the locator. The module's velocity signal — week-over-week new-start counts — provides early warning before quarterly aggregates surface the trend.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ChannelSteeringSignals</w:t>
      </w:r>
    </w:p>
    <w:p>
      <w:pPr>
        <w:keepNext/>
        <w:spacing w:after="80" w:before="0" w:line="280"/>
      </w:pPr>
      <w:r>
        <w:rPr>
          <w:rFonts w:ascii="Garamond" w:cs="Garamond" w:eastAsia="Garamond" w:hAnsi="Garamond"/>
          <w:i/>
          <w:iCs/>
          <w:color w:val="1A1A1A"/>
          <w:sz w:val="22"/>
          <w:szCs w:val="22"/>
        </w:rPr>
        <w:t xml:space="preserve">Distribution-channel economics with affiliated-pharmacy detection.</w:t>
      </w:r>
    </w:p>
    <w:p>
      <w:pPr>
        <w:spacing w:after="80" w:before="60" w:line="300"/>
        <w:jc w:val="both"/>
      </w:pPr>
      <w:r>
        <w:rPr>
          <w:rFonts w:ascii="Garamond" w:cs="Garamond" w:eastAsia="Garamond" w:hAnsi="Garamond"/>
          <w:color w:val="1A1A1A"/>
          <w:sz w:val="22"/>
          <w:szCs w:val="22"/>
        </w:rPr>
        <w:t xml:space="preserve">Detects the pattern in which a PBM steers a specialty drug toward its own affiliated specialty pharmacy at non-market pricing. Compares ingredient cost across channels for identical NDCs and quantifies the steering tax in dollars. The detection is class-action-grade when the pattern repeats across employers, which the federated network surfaces through OS-16.</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PricingIntegrityChecks</w:t>
      </w:r>
    </w:p>
    <w:p>
      <w:pPr>
        <w:keepNext/>
        <w:spacing w:after="80" w:before="0" w:line="280"/>
      </w:pPr>
      <w:r>
        <w:rPr>
          <w:rFonts w:ascii="Garamond" w:cs="Garamond" w:eastAsia="Garamond" w:hAnsi="Garamond"/>
          <w:i/>
          <w:iCs/>
          <w:color w:val="1A1A1A"/>
          <w:sz w:val="22"/>
          <w:szCs w:val="22"/>
        </w:rPr>
        <w:t xml:space="preserve">AWP, WAC, NADAC, and MAC reconciliation against contractual pricing methodology.</w:t>
      </w:r>
    </w:p>
    <w:p>
      <w:pPr>
        <w:spacing w:after="80" w:before="60" w:line="300"/>
        <w:jc w:val="both"/>
      </w:pPr>
      <w:r>
        <w:rPr>
          <w:rFonts w:ascii="Garamond" w:cs="Garamond" w:eastAsia="Garamond" w:hAnsi="Garamond"/>
          <w:color w:val="1A1A1A"/>
          <w:sz w:val="22"/>
          <w:szCs w:val="22"/>
        </w:rPr>
        <w:t xml:space="preserve">For every claim, validates that the contractually-specified pricing methodology was applied: was the contractual discount delivered, was the dispensing fee correct, was MAC pricing applied where required. The forensic engine behind every Rx Defense finding. The structural value: spread between contract and execution is not a vague qualitative concern but a quantifiable, claim-level dollar number with full evidentiary lineage.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RebateOpacityScoring</w:t>
      </w:r>
    </w:p>
    <w:p>
      <w:pPr>
        <w:keepNext/>
        <w:spacing w:after="80" w:before="0" w:line="280"/>
      </w:pPr>
      <w:r>
        <w:rPr>
          <w:rFonts w:ascii="Garamond" w:cs="Garamond" w:eastAsia="Garamond" w:hAnsi="Garamond"/>
          <w:i/>
          <w:iCs/>
          <w:color w:val="1A1A1A"/>
          <w:sz w:val="22"/>
          <w:szCs w:val="22"/>
        </w:rPr>
        <w:t xml:space="preserve">Manufacturer-rebate transparency analysis with class-level inference.</w:t>
      </w:r>
    </w:p>
    <w:p>
      <w:pPr>
        <w:spacing w:after="80" w:before="60" w:line="300"/>
        <w:jc w:val="both"/>
      </w:pPr>
      <w:r>
        <w:rPr>
          <w:rFonts w:ascii="Garamond" w:cs="Garamond" w:eastAsia="Garamond" w:hAnsi="Garamond"/>
          <w:color w:val="1A1A1A"/>
          <w:sz w:val="22"/>
          <w:szCs w:val="22"/>
        </w:rPr>
        <w:t xml:space="preserve">Tracks contractual rebate guarantees against realized passthrough. Where direct evidence of rebate flow is unavailable (the typical case), applies class-level inference using public manufacturer announcements, industry benchmarks, and federated network statistics. Quantifies under-remittance as (guaranteed_percentage × eligible_spend) − received_dollars. Most of the recoverable EBITDA in the platform's first-product economics lives here.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FormularyIncentiveMap</w:t>
      </w:r>
    </w:p>
    <w:p>
      <w:pPr>
        <w:keepNext/>
        <w:spacing w:after="80" w:before="0" w:line="280"/>
      </w:pPr>
      <w:r>
        <w:rPr>
          <w:rFonts w:ascii="Garamond" w:cs="Garamond" w:eastAsia="Garamond" w:hAnsi="Garamond"/>
          <w:i/>
          <w:iCs/>
          <w:color w:val="1A1A1A"/>
          <w:sz w:val="22"/>
          <w:szCs w:val="22"/>
        </w:rPr>
        <w:t xml:space="preserve">Tier-design conflict surfacing via net-cost-of-care analysis.</w:t>
      </w:r>
    </w:p>
    <w:p>
      <w:pPr>
        <w:spacing w:after="80" w:before="60" w:line="300"/>
        <w:jc w:val="both"/>
      </w:pPr>
      <w:r>
        <w:rPr>
          <w:rFonts w:ascii="Garamond" w:cs="Garamond" w:eastAsia="Garamond" w:hAnsi="Garamond"/>
          <w:color w:val="1A1A1A"/>
          <w:sz w:val="22"/>
          <w:szCs w:val="22"/>
        </w:rPr>
        <w:t xml:space="preserve">Identifies cases in which formulary placement appears driven by rebate economics rather than clinical or net-cost-of-care optimization. The classic pattern: a high-rebate brand preferred over a lower-net-cost generic or biosimilar. The mapping operationalizes the formulary-conflict question that most plan sponsors lack the analytical capacity to ask — let alone answer.</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ContractClauseIntelligence</w:t>
      </w:r>
    </w:p>
    <w:p>
      <w:pPr>
        <w:keepNext/>
        <w:spacing w:after="80" w:before="0" w:line="280"/>
      </w:pPr>
      <w:r>
        <w:rPr>
          <w:rFonts w:ascii="Garamond" w:cs="Garamond" w:eastAsia="Garamond" w:hAnsi="Garamond"/>
          <w:i/>
          <w:iCs/>
          <w:color w:val="1A1A1A"/>
          <w:sz w:val="22"/>
          <w:szCs w:val="22"/>
        </w:rPr>
        <w:t xml:space="preserve">PBM agreement decomposition into structured, runtime-evaluable clause objects.</w:t>
      </w:r>
    </w:p>
    <w:p>
      <w:pPr>
        <w:spacing w:after="80" w:before="60" w:line="300"/>
        <w:jc w:val="both"/>
      </w:pPr>
      <w:r>
        <w:rPr>
          <w:rFonts w:ascii="Garamond" w:cs="Garamond" w:eastAsia="Garamond" w:hAnsi="Garamond"/>
          <w:color w:val="1A1A1A"/>
          <w:sz w:val="22"/>
          <w:szCs w:val="22"/>
        </w:rPr>
        <w:t xml:space="preserve">Extracts every financially-material clause — spread definitions, audit-rights windows, MAC governance, pricing exhibits, performance guarantees — and produces structured representations bound to runtime reconciliation tests in OS-14. The product breakthrough: the contract stops being a static document and becomes a set of executable rules whose performance is measured continuously rather than at annual renewal.</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RxInterventionScenarios</w:t>
      </w:r>
    </w:p>
    <w:p>
      <w:pPr>
        <w:keepNext/>
        <w:spacing w:after="80" w:before="0" w:line="280"/>
      </w:pPr>
      <w:r>
        <w:rPr>
          <w:rFonts w:ascii="Garamond" w:cs="Garamond" w:eastAsia="Garamond" w:hAnsi="Garamond"/>
          <w:i/>
          <w:iCs/>
          <w:color w:val="1A1A1A"/>
          <w:sz w:val="22"/>
          <w:szCs w:val="22"/>
        </w:rPr>
        <w:t xml:space="preserve">Recoverable-dollar modeling with member-disruption forecasting.</w:t>
      </w:r>
    </w:p>
    <w:p>
      <w:pPr>
        <w:spacing w:after="80" w:before="60" w:line="300"/>
        <w:jc w:val="both"/>
      </w:pPr>
      <w:r>
        <w:rPr>
          <w:rFonts w:ascii="Garamond" w:cs="Garamond" w:eastAsia="Garamond" w:hAnsi="Garamond"/>
          <w:color w:val="1A1A1A"/>
          <w:sz w:val="22"/>
          <w:szCs w:val="22"/>
        </w:rPr>
        <w:t xml:space="preserve">Models the savings curve and disruption impact of structural interventions: spread to passthrough, three-tier to four-tier, open to closed formulary, retail to mail-order steering. Each scenario is rendered with confidence bounds and explicit member-disruption forecasts. The dual rendering is non-negotiable: optimization that does not model member impact is structurally dishonest and the platform refuses to produce it.</w:t>
      </w:r>
    </w:p>
    <w:p>
      <w:r>
        <w:br w:type="page"/>
      </w:r>
    </w:p>
    <w:p>
      <w:pPr>
        <w:spacing w:after="60" w:before="80"/>
        <w:jc w:val="left"/>
      </w:pPr>
      <w:r>
        <w:rPr>
          <w:rFonts w:ascii="Consolas" w:cs="Consolas" w:eastAsia="Consolas" w:hAnsi="Consolas"/>
          <w:b w:val="false"/>
          <w:bCs w:val="false"/>
          <w:color w:val="B8893F"/>
          <w:spacing w:val="60"/>
          <w:sz w:val="14"/>
          <w:szCs w:val="14"/>
        </w:rPr>
        <w:t xml:space="preserve">OS-06  ·  LAYER 1  ·  6 MODULES</w:t>
      </w:r>
    </w:p>
    <w:p>
      <w:pPr>
        <w:pStyle w:val="Heading2"/>
        <w:spacing w:after="100" w:before="240"/>
      </w:pPr>
      <w:r>
        <w:rPr>
          <w:rFonts w:ascii="Helvetica Neue" w:cs="Helvetica Neue" w:eastAsia="Helvetica Neue" w:hAnsi="Helvetica Neue"/>
          <w:b/>
          <w:bCs/>
          <w:color w:val="1A1A1A"/>
          <w:sz w:val="32"/>
          <w:szCs w:val="32"/>
        </w:rPr>
        <w:t xml:space="preserve">Actuarial Standards</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platform's professional conscience. Society of Actuaries discipline encoded as enforceable platform behavior. The operating system imports the principle that analytic outputs which cannot survive professional review should not reach a board, and architecturally prevents publication of any output that cannot.</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KPIStandardsLibrary</w:t>
      </w:r>
    </w:p>
    <w:p>
      <w:pPr>
        <w:keepNext/>
        <w:spacing w:after="80" w:before="0" w:line="280"/>
      </w:pPr>
      <w:r>
        <w:rPr>
          <w:rFonts w:ascii="Garamond" w:cs="Garamond" w:eastAsia="Garamond" w:hAnsi="Garamond"/>
          <w:i/>
          <w:iCs/>
          <w:color w:val="1A1A1A"/>
          <w:sz w:val="22"/>
          <w:szCs w:val="22"/>
        </w:rPr>
        <w:t xml:space="preserve">Definitional registry for the platform's 278+ KPIs.</w:t>
      </w:r>
    </w:p>
    <w:p>
      <w:pPr>
        <w:spacing w:after="80" w:before="60" w:line="300"/>
        <w:jc w:val="both"/>
      </w:pPr>
      <w:r>
        <w:rPr>
          <w:rFonts w:ascii="Garamond" w:cs="Garamond" w:eastAsia="Garamond" w:hAnsi="Garamond"/>
          <w:color w:val="1A1A1A"/>
          <w:sz w:val="22"/>
          <w:szCs w:val="22"/>
        </w:rPr>
        <w:t xml:space="preserve">Each KPI has a unique definition, a formula in mathematical notation, a code implementation in the TransformRegistry, an evidence-requirement specification, and a semantic version. No KPI ships without a registered definition. The library eliminates the chronic failure mode in which 'PEPM' means subtly different things in different reports — the definitional ambiguity that destroys most benefits analytics over time.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ContinuityChecks</w:t>
      </w:r>
    </w:p>
    <w:p>
      <w:pPr>
        <w:keepNext/>
        <w:spacing w:after="80" w:before="0" w:line="280"/>
      </w:pPr>
      <w:r>
        <w:rPr>
          <w:rFonts w:ascii="Garamond" w:cs="Garamond" w:eastAsia="Garamond" w:hAnsi="Garamond"/>
          <w:i/>
          <w:iCs/>
          <w:color w:val="1A1A1A"/>
          <w:sz w:val="22"/>
          <w:szCs w:val="22"/>
        </w:rPr>
        <w:t xml:space="preserve">Period-over-period sanity verification with discontinuity surfacing.</w:t>
      </w:r>
    </w:p>
    <w:p>
      <w:pPr>
        <w:spacing w:after="80" w:before="60" w:line="300"/>
        <w:jc w:val="both"/>
      </w:pPr>
      <w:r>
        <w:rPr>
          <w:rFonts w:ascii="Garamond" w:cs="Garamond" w:eastAsia="Garamond" w:hAnsi="Garamond"/>
          <w:color w:val="1A1A1A"/>
          <w:sz w:val="22"/>
          <w:szCs w:val="22"/>
        </w:rPr>
        <w:t xml:space="preserve">Validates that a 7-year trend line is internally coherent: no missing months, no double-counted months, no eligibility step-functions without explanatory events. Discontinuities are surfaced before they distort visualizations. The principle: trends without continuity are artifacts, not insights, and the platform refuses to render them as if they were insights.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DataSufficiencyScoring</w:t>
      </w:r>
    </w:p>
    <w:p>
      <w:pPr>
        <w:keepNext/>
        <w:spacing w:after="80" w:before="0" w:line="280"/>
      </w:pPr>
      <w:r>
        <w:rPr>
          <w:rFonts w:ascii="Garamond" w:cs="Garamond" w:eastAsia="Garamond" w:hAnsi="Garamond"/>
          <w:i/>
          <w:iCs/>
          <w:color w:val="1A1A1A"/>
          <w:sz w:val="22"/>
          <w:szCs w:val="22"/>
        </w:rPr>
        <w:t xml:space="preserve">Pre-publication evidence audit against KPI-specific minimum requirements.</w:t>
      </w:r>
    </w:p>
    <w:p>
      <w:pPr>
        <w:spacing w:after="80" w:before="60" w:line="300"/>
        <w:jc w:val="both"/>
      </w:pPr>
      <w:r>
        <w:rPr>
          <w:rFonts w:ascii="Garamond" w:cs="Garamond" w:eastAsia="Garamond" w:hAnsi="Garamond"/>
          <w:color w:val="1A1A1A"/>
          <w:sz w:val="22"/>
          <w:szCs w:val="22"/>
        </w:rPr>
        <w:t xml:space="preserve">For every KPI computation, scores whether the underlying evidence set meets the minimum-evidence requirement registered in OS-01's PolicyControlsEngine. Insufficient evidence triggers an INSUFFICIENT EVIDENCE confidence tier; the KPI does not publish as CERTIFIED. The architectural rule: the platform will not pretend to know more than the evidence supports.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AttributionMathPack</w:t>
      </w:r>
    </w:p>
    <w:p>
      <w:pPr>
        <w:keepNext/>
        <w:spacing w:after="80" w:before="0" w:line="280"/>
      </w:pPr>
      <w:r>
        <w:rPr>
          <w:rFonts w:ascii="Garamond" w:cs="Garamond" w:eastAsia="Garamond" w:hAnsi="Garamond"/>
          <w:i/>
          <w:iCs/>
          <w:color w:val="1A1A1A"/>
          <w:sz w:val="22"/>
          <w:szCs w:val="22"/>
        </w:rPr>
        <w:t xml:space="preserve">Drivers-of-change decomposition library implementing reproducible attribution recipes.</w:t>
      </w:r>
    </w:p>
    <w:p>
      <w:pPr>
        <w:spacing w:after="80" w:before="60" w:line="300"/>
        <w:jc w:val="both"/>
      </w:pPr>
      <w:r>
        <w:rPr>
          <w:rFonts w:ascii="Garamond" w:cs="Garamond" w:eastAsia="Garamond" w:hAnsi="Garamond"/>
          <w:color w:val="1A1A1A"/>
          <w:sz w:val="22"/>
          <w:szCs w:val="22"/>
        </w:rPr>
        <w:t xml:space="preserve">Provides the mathematical primitives behind TrendDecomposition: utilization-versus-price decomposition, mix-shift attribution, large-claim isolation, network-shift quantification. Implemented as registered transforms so that attribution math is always the same math, never the analyst's improvisation. Two analysts producing the same KPI in the same plan year will produce the same attribution because the math is mechanical.</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AssumptionsRegister</w:t>
      </w:r>
    </w:p>
    <w:p>
      <w:pPr>
        <w:keepNext/>
        <w:spacing w:after="80" w:before="0" w:line="280"/>
      </w:pPr>
      <w:r>
        <w:rPr>
          <w:rFonts w:ascii="Garamond" w:cs="Garamond" w:eastAsia="Garamond" w:hAnsi="Garamond"/>
          <w:i/>
          <w:iCs/>
          <w:color w:val="1A1A1A"/>
          <w:sz w:val="22"/>
          <w:szCs w:val="22"/>
        </w:rPr>
        <w:t xml:space="preserve">Explicit, sign-off-required assumption log.</w:t>
      </w:r>
    </w:p>
    <w:p>
      <w:pPr>
        <w:spacing w:after="80" w:before="60" w:line="300"/>
        <w:jc w:val="both"/>
      </w:pPr>
      <w:r>
        <w:rPr>
          <w:rFonts w:ascii="Garamond" w:cs="Garamond" w:eastAsia="Garamond" w:hAnsi="Garamond"/>
          <w:color w:val="1A1A1A"/>
          <w:sz w:val="22"/>
          <w:szCs w:val="22"/>
        </w:rPr>
        <w:t xml:space="preserve">When a forecast requires an assumption — trend rate, GLP-1 utilization growth, stop-loss multiplier, plan-design impact — each is recorded with source, value, rationale, owner, sign-off date, and review cadence. No assumption is anonymous; no assumption goes unchallenged into a forecast. The register is the product feature that makes the platform's forecasts professionally defensible rather than merely confidently presented.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LimitationsGenerator</w:t>
      </w:r>
    </w:p>
    <w:p>
      <w:pPr>
        <w:keepNext/>
        <w:spacing w:after="80" w:before="0" w:line="280"/>
      </w:pPr>
      <w:r>
        <w:rPr>
          <w:rFonts w:ascii="Garamond" w:cs="Garamond" w:eastAsia="Garamond" w:hAnsi="Garamond"/>
          <w:i/>
          <w:iCs/>
          <w:color w:val="1A1A1A"/>
          <w:sz w:val="22"/>
          <w:szCs w:val="22"/>
        </w:rPr>
        <w:t xml:space="preserve">Mandatory limitations-section composition from the assumption register and confidence tiers.</w:t>
      </w:r>
    </w:p>
    <w:p>
      <w:pPr>
        <w:spacing w:after="80" w:before="60" w:line="300"/>
        <w:jc w:val="both"/>
      </w:pPr>
      <w:r>
        <w:rPr>
          <w:rFonts w:ascii="Garamond" w:cs="Garamond" w:eastAsia="Garamond" w:hAnsi="Garamond"/>
          <w:color w:val="1A1A1A"/>
          <w:sz w:val="22"/>
          <w:szCs w:val="22"/>
        </w:rPr>
        <w:t xml:space="preserve">Every report ships with a limitations section. This module composes it automatically from the assumption register, the data-sufficiency score, and the distribution of confidence tiers used. Honest output is the only output the platform produces; the limitations section is the architectural enforcement of that principle. Reports that omit limitations sections are unprofessional; the platform makes omitting them impossible.</w:t>
      </w:r>
    </w:p>
    <w:p>
      <w:r>
        <w:br w:type="page"/>
      </w:r>
    </w:p>
    <w:p>
      <w:pPr>
        <w:spacing w:after="60" w:before="80"/>
        <w:jc w:val="left"/>
      </w:pPr>
      <w:r>
        <w:rPr>
          <w:rFonts w:ascii="Consolas" w:cs="Consolas" w:eastAsia="Consolas" w:hAnsi="Consolas"/>
          <w:b w:val="false"/>
          <w:bCs w:val="false"/>
          <w:color w:val="B8893F"/>
          <w:spacing w:val="60"/>
          <w:sz w:val="14"/>
          <w:szCs w:val="14"/>
        </w:rPr>
        <w:t xml:space="preserve">OS-07  ·  LAYER 1  ·  6 MODULES</w:t>
      </w:r>
    </w:p>
    <w:p>
      <w:pPr>
        <w:pStyle w:val="Heading2"/>
        <w:spacing w:after="100" w:before="240"/>
      </w:pPr>
      <w:r>
        <w:rPr>
          <w:rFonts w:ascii="Helvetica Neue" w:cs="Helvetica Neue" w:eastAsia="Helvetica Neue" w:hAnsi="Helvetica Neue"/>
          <w:b/>
          <w:bCs/>
          <w:color w:val="1A1A1A"/>
          <w:sz w:val="32"/>
          <w:szCs w:val="32"/>
        </w:rPr>
        <w:t xml:space="preserve">Fiduciary &amp; Governance</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ERISA spine. Where 'fiduciary duty' stops being a phrase that closes a meeting and becomes an inspectable, queryable, machine-enforceable property of the platform. The operating system encodes the fiduciary-process discipline that ERISA §404 actually requires — and that most plan sponsors honor only ceremonially.</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FiduciaryRiskRegister</w:t>
      </w:r>
    </w:p>
    <w:p>
      <w:pPr>
        <w:keepNext/>
        <w:spacing w:after="80" w:before="0" w:line="280"/>
      </w:pPr>
      <w:r>
        <w:rPr>
          <w:rFonts w:ascii="Garamond" w:cs="Garamond" w:eastAsia="Garamond" w:hAnsi="Garamond"/>
          <w:i/>
          <w:iCs/>
          <w:color w:val="1A1A1A"/>
          <w:sz w:val="22"/>
          <w:szCs w:val="22"/>
        </w:rPr>
        <w:t xml:space="preserve">Catalog of plan-level fiduciary exposures keyed to ERISA section references.</w:t>
      </w:r>
    </w:p>
    <w:p>
      <w:pPr>
        <w:spacing w:after="80" w:before="60" w:line="300"/>
        <w:jc w:val="both"/>
      </w:pPr>
      <w:r>
        <w:rPr>
          <w:rFonts w:ascii="Garamond" w:cs="Garamond" w:eastAsia="Garamond" w:hAnsi="Garamond"/>
          <w:color w:val="1A1A1A"/>
          <w:sz w:val="22"/>
          <w:szCs w:val="22"/>
        </w:rPr>
        <w:t xml:space="preserve">Each entry records risk description, ERISA section reference (§404, §406, §408), evidence on file, current posture, remediation owner, and review date. The document a Department of Labor investigator would ask to see first. The register is what allows a plan committee to demonstrate process — not just to claim it. In the language of fiduciary defense, this is the inversion: process is a structured object, not a recollection.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DisclosureTracker</w:t>
      </w:r>
    </w:p>
    <w:p>
      <w:pPr>
        <w:keepNext/>
        <w:spacing w:after="80" w:before="0" w:line="280"/>
      </w:pPr>
      <w:r>
        <w:rPr>
          <w:rFonts w:ascii="Garamond" w:cs="Garamond" w:eastAsia="Garamond" w:hAnsi="Garamond"/>
          <w:i/>
          <w:iCs/>
          <w:color w:val="1A1A1A"/>
          <w:sz w:val="22"/>
          <w:szCs w:val="22"/>
        </w:rPr>
        <w:t xml:space="preserve">ERISA §408(b)(2) compliance ledger for broker, consultant, and vendor compensation.</w:t>
      </w:r>
    </w:p>
    <w:p>
      <w:pPr>
        <w:spacing w:after="80" w:before="60" w:line="300"/>
        <w:jc w:val="both"/>
      </w:pPr>
      <w:r>
        <w:rPr>
          <w:rFonts w:ascii="Garamond" w:cs="Garamond" w:eastAsia="Garamond" w:hAnsi="Garamond"/>
          <w:color w:val="1A1A1A"/>
          <w:sz w:val="22"/>
          <w:szCs w:val="22"/>
        </w:rPr>
        <w:t xml:space="preserve">Tracks every required disclosure with status, version, completeness score, and material inconsistency flagging. ERISA does not require disclosure to be helpful; it requires it to be present and accurate. The platform tracks both attributes, and surfaces disclosures that are nominally on file but materially deficient.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ConflictIncentiveMapper</w:t>
      </w:r>
    </w:p>
    <w:p>
      <w:pPr>
        <w:keepNext/>
        <w:spacing w:after="80" w:before="0" w:line="280"/>
      </w:pPr>
      <w:r>
        <w:rPr>
          <w:rFonts w:ascii="Garamond" w:cs="Garamond" w:eastAsia="Garamond" w:hAnsi="Garamond"/>
          <w:i/>
          <w:iCs/>
          <w:color w:val="1A1A1A"/>
          <w:sz w:val="22"/>
          <w:szCs w:val="22"/>
        </w:rPr>
        <w:t xml:space="preserve">Compensation-flow graph including indirect, contingent, and soft-dollar compensation.</w:t>
      </w:r>
    </w:p>
    <w:p>
      <w:pPr>
        <w:spacing w:after="80" w:before="60" w:line="300"/>
        <w:jc w:val="both"/>
      </w:pPr>
      <w:r>
        <w:rPr>
          <w:rFonts w:ascii="Garamond" w:cs="Garamond" w:eastAsia="Garamond" w:hAnsi="Garamond"/>
          <w:color w:val="1A1A1A"/>
          <w:sz w:val="22"/>
          <w:szCs w:val="22"/>
        </w:rPr>
        <w:t xml:space="preserve">Maps every dollar of vendor, broker, and consultant compensation to its source, including the indirect compensation that most plan sponsors never see explicitly. Visualizes who is incentivized to recommend what. The structural input to the Shady Broker Index (SBI™) and to the platform's broader thesis that opacity is the price plan sponsors pay for unstructured information.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GovernanceControlsDashboard</w:t>
      </w:r>
    </w:p>
    <w:p>
      <w:pPr>
        <w:keepNext/>
        <w:spacing w:after="80" w:before="0" w:line="280"/>
      </w:pPr>
      <w:r>
        <w:rPr>
          <w:rFonts w:ascii="Garamond" w:cs="Garamond" w:eastAsia="Garamond" w:hAnsi="Garamond"/>
          <w:i/>
          <w:iCs/>
          <w:color w:val="1A1A1A"/>
          <w:sz w:val="22"/>
          <w:szCs w:val="22"/>
        </w:rPr>
        <w:t xml:space="preserve">Plan-committee meeting infrastructure: agendas, minutes, action items, decision memory.</w:t>
      </w:r>
    </w:p>
    <w:p>
      <w:pPr>
        <w:spacing w:after="80" w:before="60" w:line="300"/>
        <w:jc w:val="both"/>
      </w:pPr>
      <w:r>
        <w:rPr>
          <w:rFonts w:ascii="Garamond" w:cs="Garamond" w:eastAsia="Garamond" w:hAnsi="Garamond"/>
          <w:color w:val="1A1A1A"/>
          <w:sz w:val="22"/>
          <w:szCs w:val="22"/>
        </w:rPr>
        <w:t xml:space="preserve">Maintains the documentary record of plan-committee governance: meeting cadence, attendance, agenda topics, decisions made, action items assigned and tracked to completion. The dashboard is the 'we governed it' evidence package that converts a process into a defense. Without it, fiduciary process exists only as memory; with it, it exists as a queryable record.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LitigationReadyReporting</w:t>
      </w:r>
    </w:p>
    <w:p>
      <w:pPr>
        <w:keepNext/>
        <w:spacing w:after="80" w:before="0" w:line="280"/>
      </w:pPr>
      <w:r>
        <w:rPr>
          <w:rFonts w:ascii="Garamond" w:cs="Garamond" w:eastAsia="Garamond" w:hAnsi="Garamond"/>
          <w:i/>
          <w:iCs/>
          <w:color w:val="1A1A1A"/>
          <w:sz w:val="22"/>
          <w:szCs w:val="22"/>
        </w:rPr>
        <w:t xml:space="preserve">Pre-formatted exhibit generation for discovery, regulator inquiry, and M&amp;A representation.</w:t>
      </w:r>
    </w:p>
    <w:p>
      <w:pPr>
        <w:spacing w:after="80" w:before="60" w:line="300"/>
        <w:jc w:val="both"/>
      </w:pPr>
      <w:r>
        <w:rPr>
          <w:rFonts w:ascii="Garamond" w:cs="Garamond" w:eastAsia="Garamond" w:hAnsi="Garamond"/>
          <w:color w:val="1A1A1A"/>
          <w:sz w:val="22"/>
          <w:szCs w:val="22"/>
        </w:rPr>
        <w:t xml:space="preserve">Composes the evidentiary package counsel needs on demand: claim, evidence, lineage, transform receipt, sign-off chain. Hash-sealed, signed, deliverable. The module reduces a typical multi-week discovery-preparation exercise to a tractable single-day workflow. Strategically, this is the feature that converts Kincaid IQ from analytics to insurance: the platform's value compounds at the moment of legal stress, not before.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ProcurementSignals</w:t>
      </w:r>
    </w:p>
    <w:p>
      <w:pPr>
        <w:keepNext/>
        <w:spacing w:after="80" w:before="0" w:line="280"/>
      </w:pPr>
      <w:r>
        <w:rPr>
          <w:rFonts w:ascii="Garamond" w:cs="Garamond" w:eastAsia="Garamond" w:hAnsi="Garamond"/>
          <w:i/>
          <w:iCs/>
          <w:color w:val="1A1A1A"/>
          <w:sz w:val="22"/>
          <w:szCs w:val="22"/>
        </w:rPr>
        <w:t xml:space="preserve">RFP-readiness scoring with credible savings-range estimation.</w:t>
      </w:r>
    </w:p>
    <w:p>
      <w:pPr>
        <w:spacing w:after="80" w:before="60" w:line="300"/>
        <w:jc w:val="both"/>
      </w:pPr>
      <w:r>
        <w:rPr>
          <w:rFonts w:ascii="Garamond" w:cs="Garamond" w:eastAsia="Garamond" w:hAnsi="Garamond"/>
          <w:color w:val="1A1A1A"/>
          <w:sz w:val="22"/>
          <w:szCs w:val="22"/>
        </w:rPr>
        <w:t xml:space="preserve">When the data demonstrates that an incumbent vendor is structurally underperforming, this module composes the procurement signal: what to ask, what to require, what to disqualify, and what the credible savings range is under benchmark and federated-network analysis. Fiduciary process, productized — the principle that a board's decision to test the market is itself an act of fiduciary diligence.</w:t>
      </w:r>
    </w:p>
    <w:p>
      <w:r>
        <w:br w:type="page"/>
      </w:r>
    </w:p>
    <w:p>
      <w:pPr>
        <w:spacing w:after="60" w:before="80"/>
        <w:jc w:val="left"/>
      </w:pPr>
      <w:r>
        <w:rPr>
          <w:rFonts w:ascii="Consolas" w:cs="Consolas" w:eastAsia="Consolas" w:hAnsi="Consolas"/>
          <w:b w:val="false"/>
          <w:bCs w:val="false"/>
          <w:color w:val="B8893F"/>
          <w:spacing w:val="60"/>
          <w:sz w:val="14"/>
          <w:szCs w:val="14"/>
        </w:rPr>
        <w:t xml:space="preserve">OS-08  ·  LAYER 1  ·  8 MODULES</w:t>
      </w:r>
    </w:p>
    <w:p>
      <w:pPr>
        <w:pStyle w:val="Heading2"/>
        <w:spacing w:after="100" w:before="240"/>
      </w:pPr>
      <w:r>
        <w:rPr>
          <w:rFonts w:ascii="Helvetica Neue" w:cs="Helvetica Neue" w:eastAsia="Helvetica Neue" w:hAnsi="Helvetica Neue"/>
          <w:b/>
          <w:bCs/>
          <w:color w:val="1A1A1A"/>
          <w:sz w:val="32"/>
          <w:szCs w:val="32"/>
        </w:rPr>
        <w:t xml:space="preserve">Executive Decision</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CFO War Room — the operating system that translates plan-economic findings into the language of enterprise value. The architectural commitment is that every analytic output must be expressible in EBITDA, free cash flow, and enterprise-value terms; outputs that cannot make that translation are not yet finished.</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EBITDA_DragModel</w:t>
      </w:r>
    </w:p>
    <w:p>
      <w:pPr>
        <w:keepNext/>
        <w:spacing w:after="80" w:before="0" w:line="280"/>
      </w:pPr>
      <w:r>
        <w:rPr>
          <w:rFonts w:ascii="Garamond" w:cs="Garamond" w:eastAsia="Garamond" w:hAnsi="Garamond"/>
          <w:i/>
          <w:iCs/>
          <w:color w:val="1A1A1A"/>
          <w:sz w:val="22"/>
          <w:szCs w:val="22"/>
        </w:rPr>
        <w:t xml:space="preserve">Quantification of current EBITDA erosion via the canonical sensitivity ΔE = −(H × t).</w:t>
      </w:r>
    </w:p>
    <w:p>
      <w:pPr>
        <w:spacing w:after="80" w:before="60" w:line="300"/>
        <w:jc w:val="both"/>
      </w:pPr>
      <w:r>
        <w:rPr>
          <w:rFonts w:ascii="Garamond" w:cs="Garamond" w:eastAsia="Garamond" w:hAnsi="Garamond"/>
          <w:color w:val="1A1A1A"/>
          <w:sz w:val="22"/>
          <w:szCs w:val="22"/>
        </w:rPr>
        <w:t xml:space="preserve">Computes annualized EBITDA drag as the product of total healthcare spend H and trend rate t. The model takes the implicit relationship between healthcare cost growth and operating margin and renders it explicit: every basis point of trend at scale corresponds to a specific dollar of foregone EBITDA. The translation is what allows the CFO to engage with healthcare as a capital-allocation question rather than an administrative-overhead question.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EBITDA_RecoveryModel</w:t>
      </w:r>
    </w:p>
    <w:p>
      <w:pPr>
        <w:keepNext/>
        <w:spacing w:after="80" w:before="0" w:line="280"/>
      </w:pPr>
      <w:r>
        <w:rPr>
          <w:rFonts w:ascii="Garamond" w:cs="Garamond" w:eastAsia="Garamond" w:hAnsi="Garamond"/>
          <w:i/>
          <w:iCs/>
          <w:color w:val="1A1A1A"/>
          <w:sz w:val="22"/>
          <w:szCs w:val="22"/>
        </w:rPr>
        <w:t xml:space="preserve">Quantification of recoverable EBITDA from identified findings.</w:t>
      </w:r>
    </w:p>
    <w:p>
      <w:pPr>
        <w:spacing w:after="80" w:before="60" w:line="300"/>
        <w:jc w:val="both"/>
      </w:pPr>
      <w:r>
        <w:rPr>
          <w:rFonts w:ascii="Garamond" w:cs="Garamond" w:eastAsia="Garamond" w:hAnsi="Garamond"/>
          <w:color w:val="1A1A1A"/>
          <w:sz w:val="22"/>
          <w:szCs w:val="22"/>
        </w:rPr>
        <w:t xml:space="preserve">For each finding produced by OS-04 and OS-05, computes the recoverable dollar opportunity, the time-to-capture, the realization confidence, and the dependency structure. Renders the recoverable opportunity in EBITDA terms multiplied through to enterprise value at the customer's reference multiple. This is the line item the CFO actually wants — the bridge from analytic finding to capital-allocation consequence.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ScenarioEngine</w:t>
      </w:r>
    </w:p>
    <w:p>
      <w:pPr>
        <w:keepNext/>
        <w:spacing w:after="80" w:before="0" w:line="280"/>
      </w:pPr>
      <w:r>
        <w:rPr>
          <w:rFonts w:ascii="Garamond" w:cs="Garamond" w:eastAsia="Garamond" w:hAnsi="Garamond"/>
          <w:i/>
          <w:iCs/>
          <w:color w:val="1A1A1A"/>
          <w:sz w:val="22"/>
          <w:szCs w:val="22"/>
        </w:rPr>
        <w:t xml:space="preserve">Base, Adverse, and Stress projection under 10,000-iteration Monte Carlo.</w:t>
      </w:r>
    </w:p>
    <w:p>
      <w:pPr>
        <w:spacing w:after="80" w:before="60" w:line="300"/>
        <w:jc w:val="both"/>
      </w:pPr>
      <w:r>
        <w:rPr>
          <w:rFonts w:ascii="Garamond" w:cs="Garamond" w:eastAsia="Garamond" w:hAnsi="Garamond"/>
          <w:color w:val="1A1A1A"/>
          <w:sz w:val="22"/>
          <w:szCs w:val="22"/>
        </w:rPr>
        <w:t xml:space="preserve">Forward modeling under three named scenarios incorporating renewal shock, GLP-1 trajectory, catastrophic-claimant probability, and stop-loss restructure. Uses Cholesky decomposition for correlated risk factors, producing probability-weighted EBITDA distribution bands rather than point estimates. Healthcare becomes probabilistic — which is the only honest representation, and the only representation that supports rigorous capital allocation.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InitiativePortfolio</w:t>
      </w:r>
    </w:p>
    <w:p>
      <w:pPr>
        <w:keepNext/>
        <w:spacing w:after="80" w:before="0" w:line="280"/>
      </w:pPr>
      <w:r>
        <w:rPr>
          <w:rFonts w:ascii="Garamond" w:cs="Garamond" w:eastAsia="Garamond" w:hAnsi="Garamond"/>
          <w:i/>
          <w:iCs/>
          <w:color w:val="1A1A1A"/>
          <w:sz w:val="22"/>
          <w:szCs w:val="22"/>
        </w:rPr>
        <w:t xml:space="preserve">Recoverable-opportunity inventory rendered as a managed project portfolio.</w:t>
      </w:r>
    </w:p>
    <w:p>
      <w:pPr>
        <w:spacing w:after="80" w:before="60" w:line="300"/>
        <w:jc w:val="both"/>
      </w:pPr>
      <w:r>
        <w:rPr>
          <w:rFonts w:ascii="Garamond" w:cs="Garamond" w:eastAsia="Garamond" w:hAnsi="Garamond"/>
          <w:color w:val="1A1A1A"/>
          <w:sz w:val="22"/>
          <w:szCs w:val="22"/>
        </w:rPr>
        <w:t xml:space="preserve">Every identified savings opportunity is an Initiative with dollar value, owner, due date, dependencies, evidence threshold, and current status. The board sees the portfolio, not a memo. Portfolio-level views — sum-by-confidence, sum-by-time-to-capture, sum-by-finding-type — make the platform's value legible as a project plan, not as an analytic deliverable.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RealizationTracking</w:t>
      </w:r>
    </w:p>
    <w:p>
      <w:pPr>
        <w:keepNext/>
        <w:spacing w:after="80" w:before="0" w:line="280"/>
      </w:pPr>
      <w:r>
        <w:rPr>
          <w:rFonts w:ascii="Garamond" w:cs="Garamond" w:eastAsia="Garamond" w:hAnsi="Garamond"/>
          <w:i/>
          <w:iCs/>
          <w:color w:val="1A1A1A"/>
          <w:sz w:val="22"/>
          <w:szCs w:val="22"/>
        </w:rPr>
        <w:t xml:space="preserve">Forecast-versus-realized reconciliation that closes the loop on Initiative outcomes.</w:t>
      </w:r>
    </w:p>
    <w:p>
      <w:pPr>
        <w:spacing w:after="80" w:before="60" w:line="300"/>
        <w:jc w:val="both"/>
      </w:pPr>
      <w:r>
        <w:rPr>
          <w:rFonts w:ascii="Garamond" w:cs="Garamond" w:eastAsia="Garamond" w:hAnsi="Garamond"/>
          <w:color w:val="1A1A1A"/>
          <w:sz w:val="22"/>
          <w:szCs w:val="22"/>
        </w:rPr>
        <w:t xml:space="preserve">Six months after an Initiative ships, reconciles the originally-projected recovery against realized dollars and feeds the variance back into the ConfidenceScoring engine. The platform learns from its own forecasts. The architectural commitment is that the platform's accuracy improves over time as a property of its evidence accumulation, not as a marketing claim.</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KPICommandCenter</w:t>
      </w:r>
    </w:p>
    <w:p>
      <w:pPr>
        <w:keepNext/>
        <w:spacing w:after="80" w:before="0" w:line="280"/>
      </w:pPr>
      <w:r>
        <w:rPr>
          <w:rFonts w:ascii="Garamond" w:cs="Garamond" w:eastAsia="Garamond" w:hAnsi="Garamond"/>
          <w:i/>
          <w:iCs/>
          <w:color w:val="1A1A1A"/>
          <w:sz w:val="22"/>
          <w:szCs w:val="22"/>
        </w:rPr>
        <w:t xml:space="preserve">The four-tile War Room: Trend / Driver / Risk / Action.</w:t>
      </w:r>
    </w:p>
    <w:p>
      <w:pPr>
        <w:spacing w:after="80" w:before="60" w:line="300"/>
        <w:jc w:val="both"/>
      </w:pPr>
      <w:r>
        <w:rPr>
          <w:rFonts w:ascii="Garamond" w:cs="Garamond" w:eastAsia="Garamond" w:hAnsi="Garamond"/>
          <w:color w:val="1A1A1A"/>
          <w:sz w:val="22"/>
          <w:szCs w:val="22"/>
        </w:rPr>
        <w:t xml:space="preserve">One screen, four tiles always. Every number clickable into receipts. The interface that enforces the Four Hard Rules architecturally — not as a design guideline. The constraint is severe and intentional: a War Room that scrolls is not a War Room. The minimalism is the product feature.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BoardMemoGenerator</w:t>
      </w:r>
    </w:p>
    <w:p>
      <w:pPr>
        <w:keepNext/>
        <w:spacing w:after="80" w:before="0" w:line="280"/>
      </w:pPr>
      <w:r>
        <w:rPr>
          <w:rFonts w:ascii="Garamond" w:cs="Garamond" w:eastAsia="Garamond" w:hAnsi="Garamond"/>
          <w:i/>
          <w:iCs/>
          <w:color w:val="1A1A1A"/>
          <w:sz w:val="22"/>
          <w:szCs w:val="22"/>
        </w:rPr>
        <w:t xml:space="preserve">Director-grade narrative composition from certified facts.</w:t>
      </w:r>
    </w:p>
    <w:p>
      <w:pPr>
        <w:spacing w:after="80" w:before="60" w:line="300"/>
        <w:jc w:val="both"/>
      </w:pPr>
      <w:r>
        <w:rPr>
          <w:rFonts w:ascii="Garamond" w:cs="Garamond" w:eastAsia="Garamond" w:hAnsi="Garamond"/>
          <w:color w:val="1A1A1A"/>
          <w:sz w:val="22"/>
          <w:szCs w:val="22"/>
        </w:rPr>
        <w:t xml:space="preserve">Composes the board memo: executive summary, financial reconstruction, leakage analysis, contract performance, actionable strategy. Every assertion is anchored to a citation; narratives never outrun evidence. The memo is the highest-resolution product expression of the platform's discipline: every word is reachable, every number is verifiable, and the document is fit for fiduciary record.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ExecBriefGenerator</w:t>
      </w:r>
    </w:p>
    <w:p>
      <w:pPr>
        <w:keepNext/>
        <w:spacing w:after="80" w:before="0" w:line="280"/>
      </w:pPr>
      <w:r>
        <w:rPr>
          <w:rFonts w:ascii="Garamond" w:cs="Garamond" w:eastAsia="Garamond" w:hAnsi="Garamond"/>
          <w:i/>
          <w:iCs/>
          <w:color w:val="1A1A1A"/>
          <w:sz w:val="22"/>
          <w:szCs w:val="22"/>
        </w:rPr>
        <w:t xml:space="preserve">CFO-grade two-page synthesis for the executive with fifteen minutes.</w:t>
      </w:r>
    </w:p>
    <w:p>
      <w:pPr>
        <w:spacing w:after="80" w:before="60" w:line="300"/>
        <w:jc w:val="both"/>
      </w:pPr>
      <w:r>
        <w:rPr>
          <w:rFonts w:ascii="Garamond" w:cs="Garamond" w:eastAsia="Garamond" w:hAnsi="Garamond"/>
          <w:color w:val="1A1A1A"/>
          <w:sz w:val="22"/>
          <w:szCs w:val="22"/>
        </w:rPr>
        <w:t xml:space="preserve">Two pages, four tiles, ten numbers, one recommendation. The information-density discipline of a McKinsey one-pager applied to the highest-density question in corporate finance: where is healthcare spend leaking enterprise value, and what is the next move. The brevity is structural, not stylistic.</w:t>
      </w:r>
    </w:p>
    <w:p>
      <w:r>
        <w:br w:type="page"/>
      </w:r>
    </w:p>
    <w:p>
      <w:pPr>
        <w:spacing w:after="60" w:before="80"/>
        <w:jc w:val="left"/>
      </w:pPr>
      <w:r>
        <w:rPr>
          <w:rFonts w:ascii="Consolas" w:cs="Consolas" w:eastAsia="Consolas" w:hAnsi="Consolas"/>
          <w:b w:val="false"/>
          <w:bCs w:val="false"/>
          <w:color w:val="B8893F"/>
          <w:spacing w:val="60"/>
          <w:sz w:val="14"/>
          <w:szCs w:val="14"/>
        </w:rPr>
        <w:t xml:space="preserve">OS-09  ·  LAYER 1  ·  9 MODULES</w:t>
      </w:r>
    </w:p>
    <w:p>
      <w:pPr>
        <w:pStyle w:val="Heading2"/>
        <w:spacing w:after="100" w:before="240"/>
      </w:pPr>
      <w:r>
        <w:rPr>
          <w:rFonts w:ascii="Helvetica Neue" w:cs="Helvetica Neue" w:eastAsia="Helvetica Neue" w:hAnsi="Helvetica Neue"/>
          <w:b/>
          <w:bCs/>
          <w:color w:val="1A1A1A"/>
          <w:sz w:val="32"/>
          <w:szCs w:val="32"/>
        </w:rPr>
        <w:t xml:space="preserve">Security &amp; Access</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Defense in depth, with PHI handling as the architectural worst case. The operating system imports the security posture appropriate to an evidence-grade system processing the most sensitive class of regulated data in the United States.</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IdentityProviderAdapter</w:t>
      </w:r>
    </w:p>
    <w:p>
      <w:pPr>
        <w:keepNext/>
        <w:spacing w:after="80" w:before="0" w:line="280"/>
      </w:pPr>
      <w:r>
        <w:rPr>
          <w:rFonts w:ascii="Garamond" w:cs="Garamond" w:eastAsia="Garamond" w:hAnsi="Garamond"/>
          <w:i/>
          <w:iCs/>
          <w:color w:val="1A1A1A"/>
          <w:sz w:val="22"/>
          <w:szCs w:val="22"/>
        </w:rPr>
        <w:t xml:space="preserve">Federated single sign-on across enterprise identity providers.</w:t>
      </w:r>
    </w:p>
    <w:p>
      <w:pPr>
        <w:spacing w:after="80" w:before="60" w:line="300"/>
        <w:jc w:val="both"/>
      </w:pPr>
      <w:r>
        <w:rPr>
          <w:rFonts w:ascii="Garamond" w:cs="Garamond" w:eastAsia="Garamond" w:hAnsi="Garamond"/>
          <w:color w:val="1A1A1A"/>
          <w:sz w:val="22"/>
          <w:szCs w:val="22"/>
        </w:rPr>
        <w:t xml:space="preserve">Supports Okta, Microsoft Entra ID, Google Workspace, and Ping via SAML 2.0 and OIDC. MFA enforced at the identity-provider layer; passwordless authentication preferred where supported. The identity layer is never the platform's own; it is always the customer's enterprise IdP. This is the architectural posture appropriate to an infrastructure-class system: never hold credentials you do not need to hold.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RBACEngine</w:t>
      </w:r>
    </w:p>
    <w:p>
      <w:pPr>
        <w:keepNext/>
        <w:spacing w:after="80" w:before="0" w:line="280"/>
      </w:pPr>
      <w:r>
        <w:rPr>
          <w:rFonts w:ascii="Garamond" w:cs="Garamond" w:eastAsia="Garamond" w:hAnsi="Garamond"/>
          <w:i/>
          <w:iCs/>
          <w:color w:val="1A1A1A"/>
          <w:sz w:val="22"/>
          <w:szCs w:val="22"/>
        </w:rPr>
        <w:t xml:space="preserve">Role-based access control with nine canonical roles and 42 permissions.</w:t>
      </w:r>
    </w:p>
    <w:p>
      <w:pPr>
        <w:spacing w:after="80" w:before="60" w:line="300"/>
        <w:jc w:val="both"/>
      </w:pPr>
      <w:r>
        <w:rPr>
          <w:rFonts w:ascii="Garamond" w:cs="Garamond" w:eastAsia="Garamond" w:hAnsi="Garamond"/>
          <w:color w:val="1A1A1A"/>
          <w:sz w:val="22"/>
          <w:szCs w:val="22"/>
        </w:rPr>
        <w:t xml:space="preserve">Roles: Admin, Reviewer, Auditor, Analyst, Executive, Counsel, Vendor, External Auditor, Read-Only. Permissions are JWT-claimed at the API boundary and re-validated at the data layer — defense in depth across the request lifecycle. The role taxonomy is the result of substantial product research into the actual access patterns of plan committees, fiduciary counsel, and external auditors.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TenantIsolationGuard</w:t>
      </w:r>
    </w:p>
    <w:p>
      <w:pPr>
        <w:keepNext/>
        <w:spacing w:after="80" w:before="0" w:line="280"/>
      </w:pPr>
      <w:r>
        <w:rPr>
          <w:rFonts w:ascii="Garamond" w:cs="Garamond" w:eastAsia="Garamond" w:hAnsi="Garamond"/>
          <w:i/>
          <w:iCs/>
          <w:color w:val="1A1A1A"/>
          <w:sz w:val="22"/>
          <w:szCs w:val="22"/>
        </w:rPr>
        <w:t xml:space="preserve">Cross-tenant leakage prevention via runtime session variables and integration-test enforcement.</w:t>
      </w:r>
    </w:p>
    <w:p>
      <w:pPr>
        <w:spacing w:after="80" w:before="60" w:line="300"/>
        <w:jc w:val="both"/>
      </w:pPr>
      <w:r>
        <w:rPr>
          <w:rFonts w:ascii="Garamond" w:cs="Garamond" w:eastAsia="Garamond" w:hAnsi="Garamond"/>
          <w:color w:val="1A1A1A"/>
          <w:sz w:val="22"/>
          <w:szCs w:val="22"/>
        </w:rPr>
        <w:t xml:space="preserve">Every query carries tenant_id as a PostgreSQL session variable. Row-Level Security policies enforce the variable at the database. Integration tests continuously assert isolation by attempting to retrieve another tenant's data under controlled credentials. Defense in depth across three layers: application, session, database. The 'forgot the WHERE clause' failure mode is structurally impossible.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RowLevelSecurityRules</w:t>
      </w:r>
    </w:p>
    <w:p>
      <w:pPr>
        <w:keepNext/>
        <w:spacing w:after="80" w:before="0" w:line="280"/>
      </w:pPr>
      <w:r>
        <w:rPr>
          <w:rFonts w:ascii="Garamond" w:cs="Garamond" w:eastAsia="Garamond" w:hAnsi="Garamond"/>
          <w:i/>
          <w:iCs/>
          <w:color w:val="1A1A1A"/>
          <w:sz w:val="22"/>
          <w:szCs w:val="22"/>
        </w:rPr>
        <w:t xml:space="preserve">Database-enforced data boundaries via PostgreSQL RLS policies.</w:t>
      </w:r>
    </w:p>
    <w:p>
      <w:pPr>
        <w:spacing w:after="80" w:before="60" w:line="300"/>
        <w:jc w:val="both"/>
      </w:pPr>
      <w:r>
        <w:rPr>
          <w:rFonts w:ascii="Garamond" w:cs="Garamond" w:eastAsia="Garamond" w:hAnsi="Garamond"/>
          <w:color w:val="1A1A1A"/>
          <w:sz w:val="22"/>
          <w:szCs w:val="22"/>
        </w:rPr>
        <w:t xml:space="preserve">RLS policies on every canonical table. A query that omits tenant_id returns zero rows by construction — not by convention. This is the architectural answer to the most common cause of multi-tenant data breaches: code paths that skip authorization checks because the developer forgot. With RLS, there is no path to skip.</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SecretsAndKeys</w:t>
      </w:r>
    </w:p>
    <w:p>
      <w:pPr>
        <w:keepNext/>
        <w:spacing w:after="80" w:before="0" w:line="280"/>
      </w:pPr>
      <w:r>
        <w:rPr>
          <w:rFonts w:ascii="Garamond" w:cs="Garamond" w:eastAsia="Garamond" w:hAnsi="Garamond"/>
          <w:i/>
          <w:iCs/>
          <w:color w:val="1A1A1A"/>
          <w:sz w:val="22"/>
          <w:szCs w:val="22"/>
        </w:rPr>
        <w:t xml:space="preserve">Vault-backed secrets management with automated rotation and KMS-managed encryption keys.</w:t>
      </w:r>
    </w:p>
    <w:p>
      <w:pPr>
        <w:spacing w:after="80" w:before="60" w:line="300"/>
        <w:jc w:val="both"/>
      </w:pPr>
      <w:r>
        <w:rPr>
          <w:rFonts w:ascii="Garamond" w:cs="Garamond" w:eastAsia="Garamond" w:hAnsi="Garamond"/>
          <w:color w:val="1A1A1A"/>
          <w:sz w:val="22"/>
          <w:szCs w:val="22"/>
        </w:rPr>
        <w:t xml:space="preserve">No secret in code; no secret in a configuration file. All secrets retrieved at runtime from a hardened secrets backend with automatic rotation policies. Encryption keys for data-at-rest are KMS-managed with audit logging of every key-use event.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AuditLogging</w:t>
      </w:r>
    </w:p>
    <w:p>
      <w:pPr>
        <w:keepNext/>
        <w:spacing w:after="80" w:before="0" w:line="280"/>
      </w:pPr>
      <w:r>
        <w:rPr>
          <w:rFonts w:ascii="Garamond" w:cs="Garamond" w:eastAsia="Garamond" w:hAnsi="Garamond"/>
          <w:i/>
          <w:iCs/>
          <w:color w:val="1A1A1A"/>
          <w:sz w:val="22"/>
          <w:szCs w:val="22"/>
        </w:rPr>
        <w:t xml:space="preserve">Immutable, hash-chained access ledger of every read, write, export, and override.</w:t>
      </w:r>
    </w:p>
    <w:p>
      <w:pPr>
        <w:spacing w:after="80" w:before="60" w:line="300"/>
        <w:jc w:val="both"/>
      </w:pPr>
      <w:r>
        <w:rPr>
          <w:rFonts w:ascii="Garamond" w:cs="Garamond" w:eastAsia="Garamond" w:hAnsi="Garamond"/>
          <w:color w:val="1A1A1A"/>
          <w:sz w:val="22"/>
          <w:szCs w:val="22"/>
        </w:rPr>
        <w:t xml:space="preserve">Each event logged with (user_id, tenant_id, resource_id, action, timestamp, ip, user_agent) in an append-only structure with cryptographic chaining. The artifact most likely to be subpoenaed in an enforcement action. The ledger's integrity is verifiable by replaying the hash chain — tampering is detectable and provable.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ExportControls</w:t>
      </w:r>
    </w:p>
    <w:p>
      <w:pPr>
        <w:keepNext/>
        <w:spacing w:after="80" w:before="0" w:line="280"/>
      </w:pPr>
      <w:r>
        <w:rPr>
          <w:rFonts w:ascii="Garamond" w:cs="Garamond" w:eastAsia="Garamond" w:hAnsi="Garamond"/>
          <w:i/>
          <w:iCs/>
          <w:color w:val="1A1A1A"/>
          <w:sz w:val="22"/>
          <w:szCs w:val="22"/>
        </w:rPr>
        <w:t xml:space="preserve">PHI and PII redaction at the export boundary.</w:t>
      </w:r>
    </w:p>
    <w:p>
      <w:pPr>
        <w:spacing w:after="80" w:before="60" w:line="300"/>
        <w:jc w:val="both"/>
      </w:pPr>
      <w:r>
        <w:rPr>
          <w:rFonts w:ascii="Garamond" w:cs="Garamond" w:eastAsia="Garamond" w:hAnsi="Garamond"/>
          <w:color w:val="1A1A1A"/>
          <w:sz w:val="22"/>
          <w:szCs w:val="22"/>
        </w:rPr>
        <w:t xml:space="preserve">Outbound data is filtered against the recipient's clearance, the artifact's sensitivity_tags, and the export-class policy. PHI cannot leave the platform to a non-PHI-cleared recipient by accident. The export boundary is the last line of defense against the most expensive class of compliance failure.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RetentionPolicies</w:t>
      </w:r>
    </w:p>
    <w:p>
      <w:pPr>
        <w:keepNext/>
        <w:spacing w:after="80" w:before="0" w:line="280"/>
      </w:pPr>
      <w:r>
        <w:rPr>
          <w:rFonts w:ascii="Garamond" w:cs="Garamond" w:eastAsia="Garamond" w:hAnsi="Garamond"/>
          <w:i/>
          <w:iCs/>
          <w:color w:val="1A1A1A"/>
          <w:sz w:val="22"/>
          <w:szCs w:val="22"/>
        </w:rPr>
        <w:t xml:space="preserve">Lifecycle-managed retention aligned to HIPAA, ERISA, and applicable state law.</w:t>
      </w:r>
    </w:p>
    <w:p>
      <w:pPr>
        <w:spacing w:after="80" w:before="60" w:line="300"/>
        <w:jc w:val="both"/>
      </w:pPr>
      <w:r>
        <w:rPr>
          <w:rFonts w:ascii="Garamond" w:cs="Garamond" w:eastAsia="Garamond" w:hAnsi="Garamond"/>
          <w:color w:val="1A1A1A"/>
          <w:sz w:val="22"/>
          <w:szCs w:val="22"/>
        </w:rPr>
        <w:t xml:space="preserve">Per-artifact-class retention windows. Retention expirations do not trigger automatic deletion; they trigger human review via the ApprovalConsole. Deletion is too consequential to be automatic. The architectural principle: data lifecycle decisions are governance decisions.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M009  </w:t>
      </w:r>
      <w:r>
        <w:rPr>
          <w:rFonts w:ascii="Helvetica Neue" w:cs="Helvetica Neue" w:eastAsia="Helvetica Neue" w:hAnsi="Helvetica Neue"/>
          <w:b/>
          <w:bCs/>
          <w:color w:val="1A1A1A"/>
          <w:sz w:val="24"/>
          <w:szCs w:val="24"/>
        </w:rPr>
        <w:t xml:space="preserve">RedactionEngine</w:t>
      </w:r>
    </w:p>
    <w:p>
      <w:pPr>
        <w:keepNext/>
        <w:spacing w:after="80" w:before="0" w:line="280"/>
      </w:pPr>
      <w:r>
        <w:rPr>
          <w:rFonts w:ascii="Garamond" w:cs="Garamond" w:eastAsia="Garamond" w:hAnsi="Garamond"/>
          <w:i/>
          <w:iCs/>
          <w:color w:val="1A1A1A"/>
          <w:sz w:val="22"/>
          <w:szCs w:val="22"/>
        </w:rPr>
        <w:t xml:space="preserve">Configurable, reversible masking for partial-disclosure scenarios.</w:t>
      </w:r>
    </w:p>
    <w:p>
      <w:pPr>
        <w:spacing w:after="80" w:before="60" w:line="300"/>
        <w:jc w:val="both"/>
      </w:pPr>
      <w:r>
        <w:rPr>
          <w:rFonts w:ascii="Garamond" w:cs="Garamond" w:eastAsia="Garamond" w:hAnsi="Garamond"/>
          <w:color w:val="1A1A1A"/>
          <w:sz w:val="22"/>
          <w:szCs w:val="22"/>
        </w:rPr>
        <w:t xml:space="preserve">For board materials that must be shared with PHI redacted, vendor packets in which member identifiers must be masked, or M&amp;A diligence rooms in which only summary statistics may be released, the redaction engine applies deterministic, reversible masking with audit logging. The redaction is auditable but does not compromise the underlying record.</w:t>
      </w:r>
    </w:p>
    <w:p>
      <w:r>
        <w:br w:type="page"/>
      </w:r>
    </w:p>
    <w:p>
      <w:pPr>
        <w:spacing w:after="60" w:before="80"/>
        <w:jc w:val="left"/>
      </w:pPr>
      <w:r>
        <w:rPr>
          <w:rFonts w:ascii="Consolas" w:cs="Consolas" w:eastAsia="Consolas" w:hAnsi="Consolas"/>
          <w:b w:val="false"/>
          <w:bCs w:val="false"/>
          <w:color w:val="B8893F"/>
          <w:spacing w:val="60"/>
          <w:sz w:val="14"/>
          <w:szCs w:val="14"/>
        </w:rPr>
        <w:t xml:space="preserve">OS-10  ·  LAYER 1  ·  8 MODULES</w:t>
      </w:r>
    </w:p>
    <w:p>
      <w:pPr>
        <w:pStyle w:val="Heading2"/>
        <w:spacing w:after="100" w:before="240"/>
      </w:pPr>
      <w:r>
        <w:rPr>
          <w:rFonts w:ascii="Helvetica Neue" w:cs="Helvetica Neue" w:eastAsia="Helvetica Neue" w:hAnsi="Helvetica Neue"/>
          <w:b/>
          <w:bCs/>
          <w:color w:val="1A1A1A"/>
          <w:sz w:val="32"/>
          <w:szCs w:val="32"/>
        </w:rPr>
        <w:t xml:space="preserve">Integrations &amp; Export</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semipermeable membrane between Kincaid IQ and the operational systems it depends on. Data flows in from carriers, HRIS, ERP, and TPAs; receipts flow out to boards, banks, counsel, and downstream applications. The operating system makes both flows reliable, observable, and auditable.</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ClaimsConnector</w:t>
      </w:r>
    </w:p>
    <w:p>
      <w:pPr>
        <w:keepNext/>
        <w:spacing w:after="80" w:before="0" w:line="280"/>
      </w:pPr>
      <w:r>
        <w:rPr>
          <w:rFonts w:ascii="Garamond" w:cs="Garamond" w:eastAsia="Garamond" w:hAnsi="Garamond"/>
          <w:i/>
          <w:iCs/>
          <w:color w:val="1A1A1A"/>
          <w:sz w:val="22"/>
          <w:szCs w:val="22"/>
        </w:rPr>
        <w:t xml:space="preserve">Carrier and TPA claims-feed integration across the self-funded market.</w:t>
      </w:r>
    </w:p>
    <w:p>
      <w:pPr>
        <w:spacing w:after="80" w:before="60" w:line="300"/>
        <w:jc w:val="both"/>
      </w:pPr>
      <w:r>
        <w:rPr>
          <w:rFonts w:ascii="Garamond" w:cs="Garamond" w:eastAsia="Garamond" w:hAnsi="Garamond"/>
          <w:color w:val="1A1A1A"/>
          <w:sz w:val="22"/>
          <w:szCs w:val="22"/>
        </w:rPr>
        <w:t xml:space="preserve">Direct ingestion from major carriers — Aetna, UnitedHealthcare, Anthem, Cigna, Blue Cross Blue Shield plans — and major TPAs — Meritain, HealthEZ, Trustmark — covering approximately 80% of the self-funded market by member-count. Implementation includes SFTP automation, REST API integration, and structured portal scraping where direct API access is unavailable. The connector inventory is itself a strategic asset; each new connector is a moat-deepening investment.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EligibilityConnector</w:t>
      </w:r>
    </w:p>
    <w:p>
      <w:pPr>
        <w:keepNext/>
        <w:spacing w:after="80" w:before="0" w:line="280"/>
      </w:pPr>
      <w:r>
        <w:rPr>
          <w:rFonts w:ascii="Garamond" w:cs="Garamond" w:eastAsia="Garamond" w:hAnsi="Garamond"/>
          <w:i/>
          <w:iCs/>
          <w:color w:val="1A1A1A"/>
          <w:sz w:val="22"/>
          <w:szCs w:val="22"/>
        </w:rPr>
        <w:t xml:space="preserve">HRIS and benefits-administration system integration.</w:t>
      </w:r>
    </w:p>
    <w:p>
      <w:pPr>
        <w:spacing w:after="80" w:before="60" w:line="300"/>
        <w:jc w:val="both"/>
      </w:pPr>
      <w:r>
        <w:rPr>
          <w:rFonts w:ascii="Garamond" w:cs="Garamond" w:eastAsia="Garamond" w:hAnsi="Garamond"/>
          <w:color w:val="1A1A1A"/>
          <w:sz w:val="22"/>
          <w:szCs w:val="22"/>
        </w:rPr>
        <w:t xml:space="preserve">Workday, ADP, UKG, Paycom, BambooHR, and the long tail of mid-market benefits-admin systems. Provides real-time member status, plan election, dependent coverage — the denominator side of every PEPM calculation. Eligibility connector quality is the largest predictor of analytic quality downstream; the platform invests accordingly.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HRISConnector</w:t>
      </w:r>
    </w:p>
    <w:p>
      <w:pPr>
        <w:keepNext/>
        <w:spacing w:after="80" w:before="0" w:line="280"/>
      </w:pPr>
      <w:r>
        <w:rPr>
          <w:rFonts w:ascii="Garamond" w:cs="Garamond" w:eastAsia="Garamond" w:hAnsi="Garamond"/>
          <w:i/>
          <w:iCs/>
          <w:color w:val="1A1A1A"/>
          <w:sz w:val="22"/>
          <w:szCs w:val="22"/>
        </w:rPr>
        <w:t xml:space="preserve">Organizational-context integration for division, location, and job-family slicing.</w:t>
      </w:r>
    </w:p>
    <w:p>
      <w:pPr>
        <w:spacing w:after="80" w:before="60" w:line="300"/>
        <w:jc w:val="both"/>
      </w:pPr>
      <w:r>
        <w:rPr>
          <w:rFonts w:ascii="Garamond" w:cs="Garamond" w:eastAsia="Garamond" w:hAnsi="Garamond"/>
          <w:color w:val="1A1A1A"/>
          <w:sz w:val="22"/>
          <w:szCs w:val="22"/>
        </w:rPr>
        <w:t xml:space="preserve">Where authorized by the customer, integrates with HRIS to enable analytic depth on questions like 'why is per-member healthcare cost in the Memphis plant 22% higher than Indianapolis?' The slicing capability is the diagnostic primitive for population-level interventions and for benefit-equity analysis.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ERPConnector</w:t>
      </w:r>
    </w:p>
    <w:p>
      <w:pPr>
        <w:keepNext/>
        <w:spacing w:after="80" w:before="0" w:line="280"/>
      </w:pPr>
      <w:r>
        <w:rPr>
          <w:rFonts w:ascii="Garamond" w:cs="Garamond" w:eastAsia="Garamond" w:hAnsi="Garamond"/>
          <w:i/>
          <w:iCs/>
          <w:color w:val="1A1A1A"/>
          <w:sz w:val="22"/>
          <w:szCs w:val="22"/>
        </w:rPr>
        <w:t xml:space="preserve">Finance-system reconciliation against benefits cash flow.</w:t>
      </w:r>
    </w:p>
    <w:p>
      <w:pPr>
        <w:spacing w:after="80" w:before="60" w:line="300"/>
        <w:jc w:val="both"/>
      </w:pPr>
      <w:r>
        <w:rPr>
          <w:rFonts w:ascii="Garamond" w:cs="Garamond" w:eastAsia="Garamond" w:hAnsi="Garamond"/>
          <w:color w:val="1A1A1A"/>
          <w:sz w:val="22"/>
          <w:szCs w:val="22"/>
        </w:rPr>
        <w:t xml:space="preserve">NetSuite, SAP, Oracle, QuickBooks Enterprise. Reconciles cash paid versus benefits invoices versus carrier-reported claims — the three-way match that finance teams typically close manually in spreadsheets at quarter-end. The connector automates the close and surfaces structural discrepancies that the manual process would miss.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DataExport</w:t>
      </w:r>
    </w:p>
    <w:p>
      <w:pPr>
        <w:keepNext/>
        <w:spacing w:after="80" w:before="0" w:line="280"/>
      </w:pPr>
      <w:r>
        <w:rPr>
          <w:rFonts w:ascii="Garamond" w:cs="Garamond" w:eastAsia="Garamond" w:hAnsi="Garamond"/>
          <w:i/>
          <w:iCs/>
          <w:color w:val="1A1A1A"/>
          <w:sz w:val="22"/>
          <w:szCs w:val="22"/>
        </w:rPr>
        <w:t xml:space="preserve">Customer-controlled extracts in CSV, Parquet, and API formats.</w:t>
      </w:r>
    </w:p>
    <w:p>
      <w:pPr>
        <w:spacing w:after="80" w:before="60" w:line="300"/>
        <w:jc w:val="both"/>
      </w:pPr>
      <w:r>
        <w:rPr>
          <w:rFonts w:ascii="Garamond" w:cs="Garamond" w:eastAsia="Garamond" w:hAnsi="Garamond"/>
          <w:color w:val="1A1A1A"/>
          <w:sz w:val="22"/>
          <w:szCs w:val="22"/>
        </w:rPr>
        <w:t xml:space="preserve">The customer's data, on the customer's terms, with full receipts. The principle is that the customer owns their data unambiguously and may extract it at any time without restriction. This is the architectural commitment against the lock-in pattern endemic to most enterprise software categories.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BoardPackExporter</w:t>
      </w:r>
    </w:p>
    <w:p>
      <w:pPr>
        <w:keepNext/>
        <w:spacing w:after="80" w:before="0" w:line="280"/>
      </w:pPr>
      <w:r>
        <w:rPr>
          <w:rFonts w:ascii="Garamond" w:cs="Garamond" w:eastAsia="Garamond" w:hAnsi="Garamond"/>
          <w:i/>
          <w:iCs/>
          <w:color w:val="1A1A1A"/>
          <w:sz w:val="22"/>
          <w:szCs w:val="22"/>
        </w:rPr>
        <w:t xml:space="preserve">Four-tile War Room rendered to hash-sealed PDF plus evidence bundle.</w:t>
      </w:r>
    </w:p>
    <w:p>
      <w:pPr>
        <w:spacing w:after="80" w:before="60" w:line="300"/>
        <w:jc w:val="both"/>
      </w:pPr>
      <w:r>
        <w:rPr>
          <w:rFonts w:ascii="Garamond" w:cs="Garamond" w:eastAsia="Garamond" w:hAnsi="Garamond"/>
          <w:color w:val="1A1A1A"/>
          <w:sz w:val="22"/>
          <w:szCs w:val="22"/>
        </w:rPr>
        <w:t xml:space="preserve">The board pack is generated as a single PDF with embedded citation anchors plus a ZIP archive containing every supporting artifact. SHA-256 sealed end-to-end; reproducible from the underlying claim hashes. The export is portable evidentiary infrastructure — the customer can hand it to counsel, to an external auditor, or to a regulator without further preparation.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WebhookPublisher</w:t>
      </w:r>
    </w:p>
    <w:p>
      <w:pPr>
        <w:keepNext/>
        <w:spacing w:after="80" w:before="0" w:line="280"/>
      </w:pPr>
      <w:r>
        <w:rPr>
          <w:rFonts w:ascii="Garamond" w:cs="Garamond" w:eastAsia="Garamond" w:hAnsi="Garamond"/>
          <w:i/>
          <w:iCs/>
          <w:color w:val="1A1A1A"/>
          <w:sz w:val="22"/>
          <w:szCs w:val="22"/>
        </w:rPr>
        <w:t xml:space="preserve">Event-driven outbound to customer endpoints.</w:t>
      </w:r>
    </w:p>
    <w:p>
      <w:pPr>
        <w:spacing w:after="80" w:before="60" w:line="300"/>
        <w:jc w:val="both"/>
      </w:pPr>
      <w:r>
        <w:rPr>
          <w:rFonts w:ascii="Garamond" w:cs="Garamond" w:eastAsia="Garamond" w:hAnsi="Garamond"/>
          <w:color w:val="1A1A1A"/>
          <w:sz w:val="22"/>
          <w:szCs w:val="22"/>
        </w:rPr>
        <w:t xml:space="preserve">On Initiative completion, KPI threshold breach, evidence-bundle seal, or board-pack publication, emits structured webhooks to customer endpoints. Drives Slack alerts, Salesforce updates, Jira tickets, and arbitrary customer workflow integrations. The pattern: Kincaid IQ becomes a citizen of the customer's operational fabric rather than an isolated portal.</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APIGateway</w:t>
      </w:r>
    </w:p>
    <w:p>
      <w:pPr>
        <w:keepNext/>
        <w:spacing w:after="80" w:before="0" w:line="280"/>
      </w:pPr>
      <w:r>
        <w:rPr>
          <w:rFonts w:ascii="Garamond" w:cs="Garamond" w:eastAsia="Garamond" w:hAnsi="Garamond"/>
          <w:i/>
          <w:iCs/>
          <w:color w:val="1A1A1A"/>
          <w:sz w:val="22"/>
          <w:szCs w:val="22"/>
        </w:rPr>
        <w:t xml:space="preserve">Programmatic access surface with REST and GraphQL endpoints.</w:t>
      </w:r>
    </w:p>
    <w:p>
      <w:pPr>
        <w:spacing w:after="80" w:before="60" w:line="300"/>
        <w:jc w:val="both"/>
      </w:pPr>
      <w:r>
        <w:rPr>
          <w:rFonts w:ascii="Garamond" w:cs="Garamond" w:eastAsia="Garamond" w:hAnsi="Garamond"/>
          <w:color w:val="1A1A1A"/>
          <w:sz w:val="22"/>
          <w:szCs w:val="22"/>
        </w:rPr>
        <w:t xml:space="preserve">For customers embedding Kincaid IQ data in their own systems: REST for action-oriented and idempotent operations, GraphQL for read-heavy exploratory queries. Rate-limited, scope-restricted, comprehensively logged. The gateway is the platform's substrate for the longer-term thesis that Kincaid IQ becomes infrastructure for an ecosystem of partner-built applications.</w:t>
      </w:r>
    </w:p>
    <w:p>
      <w:r>
        <w:br w:type="page"/>
      </w:r>
    </w:p>
    <w:p>
      <w:pPr>
        <w:spacing w:after="60" w:before="80"/>
        <w:jc w:val="left"/>
      </w:pPr>
      <w:r>
        <w:rPr>
          <w:rFonts w:ascii="Consolas" w:cs="Consolas" w:eastAsia="Consolas" w:hAnsi="Consolas"/>
          <w:b w:val="false"/>
          <w:bCs w:val="false"/>
          <w:color w:val="B8893F"/>
          <w:spacing w:val="60"/>
          <w:sz w:val="14"/>
          <w:szCs w:val="14"/>
        </w:rPr>
        <w:t xml:space="preserve">OS-11  ·  LAYER 1  ·  7 MODULES</w:t>
      </w:r>
    </w:p>
    <w:p>
      <w:pPr>
        <w:pStyle w:val="Heading2"/>
        <w:spacing w:after="100" w:before="240"/>
      </w:pPr>
      <w:r>
        <w:rPr>
          <w:rFonts w:ascii="Helvetica Neue" w:cs="Helvetica Neue" w:eastAsia="Helvetica Neue" w:hAnsi="Helvetica Neue"/>
          <w:b/>
          <w:bCs/>
          <w:color w:val="1A1A1A"/>
          <w:sz w:val="32"/>
          <w:szCs w:val="32"/>
        </w:rPr>
        <w:t xml:space="preserve">Growth &amp; GTM</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commercial engine, built into the platform rather than bolted onto it. The operating system treats go-to-market as a first-class platform concern subject to the same discipline as the analytical layers: data-driven targeting, measurable conversion, accountable pipeline economics.</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ICPAccountTiering</w:t>
      </w:r>
    </w:p>
    <w:p>
      <w:pPr>
        <w:keepNext/>
        <w:spacing w:after="80" w:before="0" w:line="280"/>
      </w:pPr>
      <w:r>
        <w:rPr>
          <w:rFonts w:ascii="Garamond" w:cs="Garamond" w:eastAsia="Garamond" w:hAnsi="Garamond"/>
          <w:i/>
          <w:iCs/>
          <w:color w:val="1A1A1A"/>
          <w:sz w:val="22"/>
          <w:szCs w:val="22"/>
        </w:rPr>
        <w:t xml:space="preserve">Ideal-customer-profile scoring against the addressable market.</w:t>
      </w:r>
    </w:p>
    <w:p>
      <w:pPr>
        <w:spacing w:after="80" w:before="60" w:line="300"/>
        <w:jc w:val="both"/>
      </w:pPr>
      <w:r>
        <w:rPr>
          <w:rFonts w:ascii="Garamond" w:cs="Garamond" w:eastAsia="Garamond" w:hAnsi="Garamond"/>
          <w:color w:val="1A1A1A"/>
          <w:sz w:val="22"/>
          <w:szCs w:val="22"/>
        </w:rPr>
        <w:t xml:space="preserve">Scores prospects on size (250–25,000 lives), funding type (self-funded preferred), PBM identity, broker structure, and DOL Form 5500 signal. Tiers prospects into A, B, and C buckets with explicit propensity-to-buy estimation. The scoring is the platform's discipline against the failure mode of pursuing prospects who are not, in fact, the platform's customer.</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ProspectSignals</w:t>
      </w:r>
    </w:p>
    <w:p>
      <w:pPr>
        <w:keepNext/>
        <w:spacing w:after="80" w:before="0" w:line="280"/>
      </w:pPr>
      <w:r>
        <w:rPr>
          <w:rFonts w:ascii="Garamond" w:cs="Garamond" w:eastAsia="Garamond" w:hAnsi="Garamond"/>
          <w:i/>
          <w:iCs/>
          <w:color w:val="1A1A1A"/>
          <w:sz w:val="22"/>
          <w:szCs w:val="22"/>
        </w:rPr>
        <w:t xml:space="preserve">Public-data intelligence layer feeding outbound prioritization.</w:t>
      </w:r>
    </w:p>
    <w:p>
      <w:pPr>
        <w:spacing w:after="80" w:before="60" w:line="300"/>
        <w:jc w:val="both"/>
      </w:pPr>
      <w:r>
        <w:rPr>
          <w:rFonts w:ascii="Garamond" w:cs="Garamond" w:eastAsia="Garamond" w:hAnsi="Garamond"/>
          <w:color w:val="1A1A1A"/>
          <w:sz w:val="22"/>
          <w:szCs w:val="22"/>
        </w:rPr>
        <w:t xml:space="preserve">Monitors DOL Form 5500 changes (broker switches, vendor changes, plan structural shifts), M&amp;A activity, leadership transitions, and litigation filings. The signal layer is what makes outbound a research-driven exercise rather than a volume exercise. Prospect signals route to ABM playbooks within hours of detection.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ABMPlaybooks</w:t>
      </w:r>
    </w:p>
    <w:p>
      <w:pPr>
        <w:keepNext/>
        <w:spacing w:after="80" w:before="0" w:line="280"/>
      </w:pPr>
      <w:r>
        <w:rPr>
          <w:rFonts w:ascii="Garamond" w:cs="Garamond" w:eastAsia="Garamond" w:hAnsi="Garamond"/>
          <w:i/>
          <w:iCs/>
          <w:color w:val="1A1A1A"/>
          <w:sz w:val="22"/>
          <w:szCs w:val="22"/>
        </w:rPr>
        <w:t xml:space="preserve">Account-based outbound choreography codified as repeatable sequences.</w:t>
      </w:r>
    </w:p>
    <w:p>
      <w:pPr>
        <w:spacing w:after="80" w:before="60" w:line="300"/>
        <w:jc w:val="both"/>
      </w:pPr>
      <w:r>
        <w:rPr>
          <w:rFonts w:ascii="Garamond" w:cs="Garamond" w:eastAsia="Garamond" w:hAnsi="Garamond"/>
          <w:color w:val="1A1A1A"/>
          <w:sz w:val="22"/>
          <w:szCs w:val="22"/>
        </w:rPr>
        <w:t xml:space="preserve">Per-account sequences: research → point-of-view development → meeting → diligence → proof-of-concept → close. Codified at the activity level so the GTM team executes process rather than improvisation. Playbooks are versioned, A/B tested, and improvement-tracked — the same discipline the platform applies to its analytical outputs applied to its sales motion.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ContentEngineIndex</w:t>
      </w:r>
    </w:p>
    <w:p>
      <w:pPr>
        <w:keepNext/>
        <w:spacing w:after="80" w:before="0" w:line="280"/>
      </w:pPr>
      <w:r>
        <w:rPr>
          <w:rFonts w:ascii="Garamond" w:cs="Garamond" w:eastAsia="Garamond" w:hAnsi="Garamond"/>
          <w:i/>
          <w:iCs/>
          <w:color w:val="1A1A1A"/>
          <w:sz w:val="22"/>
          <w:szCs w:val="22"/>
        </w:rPr>
        <w:t xml:space="preserve">Thought-leadership catalog cross-referenced to platform capabilities.</w:t>
      </w:r>
    </w:p>
    <w:p>
      <w:pPr>
        <w:spacing w:after="80" w:before="60" w:line="300"/>
        <w:jc w:val="both"/>
      </w:pPr>
      <w:r>
        <w:rPr>
          <w:rFonts w:ascii="Garamond" w:cs="Garamond" w:eastAsia="Garamond" w:hAnsi="Garamond"/>
          <w:color w:val="1A1A1A"/>
          <w:sz w:val="22"/>
          <w:szCs w:val="22"/>
        </w:rPr>
        <w:t xml:space="preserve">Indexes forensic reports, monographs, board briefs, and LinkedIn articles. Each piece of content is tagged to the platform capability it demonstrates and the buyer persona it addresses. The library is the marketing arm of the evidence spine: thought leadership produced from real platform output, citable back to the underlying analytic engines.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POVLibrary</w:t>
      </w:r>
    </w:p>
    <w:p>
      <w:pPr>
        <w:keepNext/>
        <w:spacing w:after="80" w:before="0" w:line="280"/>
      </w:pPr>
      <w:r>
        <w:rPr>
          <w:rFonts w:ascii="Garamond" w:cs="Garamond" w:eastAsia="Garamond" w:hAnsi="Garamond"/>
          <w:i/>
          <w:iCs/>
          <w:color w:val="1A1A1A"/>
          <w:sz w:val="22"/>
          <w:szCs w:val="22"/>
        </w:rPr>
        <w:t xml:space="preserve">Point-of-view prospect deliverables generated from public DOL Form 5500 data.</w:t>
      </w:r>
    </w:p>
    <w:p>
      <w:pPr>
        <w:spacing w:after="80" w:before="60" w:line="300"/>
        <w:jc w:val="both"/>
      </w:pPr>
      <w:r>
        <w:rPr>
          <w:rFonts w:ascii="Garamond" w:cs="Garamond" w:eastAsia="Garamond" w:hAnsi="Garamond"/>
          <w:color w:val="1A1A1A"/>
          <w:sz w:val="22"/>
          <w:szCs w:val="22"/>
        </w:rPr>
        <w:t xml:space="preserve">Pre-deal forensic teasers: 'here is what we can demonstrate about your plan from outside; imagine the depth of analysis available with inside access.' The POV is the platform's wedge against the typical procurement-cycle dynamic in which the prospect cannot evaluate capability without granting data access. POVs collapse the chicken-and-egg problem.</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SalesEnablementKit</w:t>
      </w:r>
    </w:p>
    <w:p>
      <w:pPr>
        <w:keepNext/>
        <w:spacing w:after="80" w:before="0" w:line="280"/>
      </w:pPr>
      <w:r>
        <w:rPr>
          <w:rFonts w:ascii="Garamond" w:cs="Garamond" w:eastAsia="Garamond" w:hAnsi="Garamond"/>
          <w:i/>
          <w:iCs/>
          <w:color w:val="1A1A1A"/>
          <w:sz w:val="22"/>
          <w:szCs w:val="22"/>
        </w:rPr>
        <w:t xml:space="preserve">AE-grade playbook plus objection-handler library.</w:t>
      </w:r>
    </w:p>
    <w:p>
      <w:pPr>
        <w:spacing w:after="80" w:before="60" w:line="300"/>
        <w:jc w:val="both"/>
      </w:pPr>
      <w:r>
        <w:rPr>
          <w:rFonts w:ascii="Garamond" w:cs="Garamond" w:eastAsia="Garamond" w:hAnsi="Garamond"/>
          <w:color w:val="1A1A1A"/>
          <w:sz w:val="22"/>
          <w:szCs w:val="22"/>
        </w:rPr>
        <w:t xml:space="preserve">Discovery scripts, pricing scenarios, mutual NDA templates, POC scopes, board-day choreography. Standardized so every account executive pitches the same product with the same evidence base. The standardization is the precondition for measuring sales-cycle dynamics meaningfully — the platform's GTM team is, by design, instrumented.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FunnelMathDashboard</w:t>
      </w:r>
    </w:p>
    <w:p>
      <w:pPr>
        <w:keepNext/>
        <w:spacing w:after="80" w:before="0" w:line="280"/>
      </w:pPr>
      <w:r>
        <w:rPr>
          <w:rFonts w:ascii="Garamond" w:cs="Garamond" w:eastAsia="Garamond" w:hAnsi="Garamond"/>
          <w:i/>
          <w:iCs/>
          <w:color w:val="1A1A1A"/>
          <w:sz w:val="22"/>
          <w:szCs w:val="22"/>
        </w:rPr>
        <w:t xml:space="preserve">Pipeline analytics with cohort velocity and CAC-payback discipline.</w:t>
      </w:r>
    </w:p>
    <w:p>
      <w:pPr>
        <w:spacing w:after="80" w:before="60" w:line="300"/>
        <w:jc w:val="both"/>
      </w:pPr>
      <w:r>
        <w:rPr>
          <w:rFonts w:ascii="Garamond" w:cs="Garamond" w:eastAsia="Garamond" w:hAnsi="Garamond"/>
          <w:color w:val="1A1A1A"/>
          <w:sz w:val="22"/>
          <w:szCs w:val="22"/>
        </w:rPr>
        <w:t xml:space="preserve">MQL → SQL → Opportunity → Closed-Won tracked with cohort velocity, win-rate by segment, ACV, gross margin, and CAC-payback. The internal mirror of the analytic rigor the platform holds customers to. The GTM team operates under the same evidentiary standard as the analytic layer: claims about pipeline performance are receipt-grade.</w:t>
      </w:r>
    </w:p>
    <w:p>
      <w:r>
        <w:br w:type="page"/>
      </w:r>
    </w:p>
    <w:p>
      <w:pPr>
        <w:spacing w:after="60" w:before="80"/>
        <w:jc w:val="left"/>
      </w:pPr>
      <w:r>
        <w:rPr>
          <w:rFonts w:ascii="Consolas" w:cs="Consolas" w:eastAsia="Consolas" w:hAnsi="Consolas"/>
          <w:b w:val="false"/>
          <w:bCs w:val="false"/>
          <w:color w:val="B8893F"/>
          <w:spacing w:val="60"/>
          <w:sz w:val="14"/>
          <w:szCs w:val="14"/>
        </w:rPr>
        <w:t xml:space="preserve">OS-12  ·  LAYER 1  ·  8 MODULES</w:t>
      </w:r>
    </w:p>
    <w:p>
      <w:pPr>
        <w:pStyle w:val="Heading2"/>
        <w:spacing w:after="100" w:before="240"/>
      </w:pPr>
      <w:r>
        <w:rPr>
          <w:rFonts w:ascii="Helvetica Neue" w:cs="Helvetica Neue" w:eastAsia="Helvetica Neue" w:hAnsi="Helvetica Neue"/>
          <w:b/>
          <w:bCs/>
          <w:color w:val="1A1A1A"/>
          <w:sz w:val="32"/>
          <w:szCs w:val="32"/>
        </w:rPr>
        <w:t xml:space="preserve">Platform Engineering</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engineering substrate that makes determinism a daily property rather than a marketing aspiration. The operating system encodes the practices — golden tests, configuration versioning, observability — that infrastructure-class systems require and that most analytics platforms lack.</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DeterministicRunMode</w:t>
      </w:r>
    </w:p>
    <w:p>
      <w:pPr>
        <w:keepNext/>
        <w:spacing w:after="80" w:before="0" w:line="280"/>
      </w:pPr>
      <w:r>
        <w:rPr>
          <w:rFonts w:ascii="Garamond" w:cs="Garamond" w:eastAsia="Garamond" w:hAnsi="Garamond"/>
          <w:i/>
          <w:iCs/>
          <w:color w:val="1A1A1A"/>
          <w:sz w:val="22"/>
          <w:szCs w:val="22"/>
        </w:rPr>
        <w:t xml:space="preserve">Bit-identical execution guarantee enforced by composite hash cache keys.</w:t>
      </w:r>
    </w:p>
    <w:p>
      <w:pPr>
        <w:spacing w:after="80" w:before="60" w:line="300"/>
        <w:jc w:val="both"/>
      </w:pPr>
      <w:r>
        <w:rPr>
          <w:rFonts w:ascii="Garamond" w:cs="Garamond" w:eastAsia="Garamond" w:hAnsi="Garamond"/>
          <w:color w:val="1A1A1A"/>
          <w:sz w:val="22"/>
          <w:szCs w:val="22"/>
        </w:rPr>
        <w:t xml:space="preserve">Same inputs plus same code plus same configuration yields the same output, byte-for-byte. Enforced via the composite key (input_hash, transform_hash, config_hash). The guarantee is what underwrites the platform's reproducibility claims; it is also what makes incident response tractable — bugs are reproducible from production hashes rather than approximate from logs.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TestHarnessGoldenFiles</w:t>
      </w:r>
    </w:p>
    <w:p>
      <w:pPr>
        <w:keepNext/>
        <w:spacing w:after="80" w:before="0" w:line="280"/>
      </w:pPr>
      <w:r>
        <w:rPr>
          <w:rFonts w:ascii="Garamond" w:cs="Garamond" w:eastAsia="Garamond" w:hAnsi="Garamond"/>
          <w:i/>
          <w:iCs/>
          <w:color w:val="1A1A1A"/>
          <w:sz w:val="22"/>
          <w:szCs w:val="22"/>
        </w:rPr>
        <w:t xml:space="preserve">Frozen-output regression testing for every KPI.</w:t>
      </w:r>
    </w:p>
    <w:p>
      <w:pPr>
        <w:spacing w:after="80" w:before="60" w:line="300"/>
        <w:jc w:val="both"/>
      </w:pPr>
      <w:r>
        <w:rPr>
          <w:rFonts w:ascii="Garamond" w:cs="Garamond" w:eastAsia="Garamond" w:hAnsi="Garamond"/>
          <w:color w:val="1A1A1A"/>
          <w:sz w:val="22"/>
          <w:szCs w:val="22"/>
        </w:rPr>
        <w:t xml:space="preserve">For each KPI, a golden file captures (input fixture, expected output). Any code change that perturbs a golden output fails the CI pipeline. Drift is impossible without an explicit, reviewed approval that constitutes a versioned change to the golden. The architecture is the answer to the silent-correctness failure mode: the test that passes while the math has changed.</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RegressionSuiteKPIs</w:t>
      </w:r>
    </w:p>
    <w:p>
      <w:pPr>
        <w:keepNext/>
        <w:spacing w:after="80" w:before="0" w:line="280"/>
      </w:pPr>
      <w:r>
        <w:rPr>
          <w:rFonts w:ascii="Garamond" w:cs="Garamond" w:eastAsia="Garamond" w:hAnsi="Garamond"/>
          <w:i/>
          <w:iCs/>
          <w:color w:val="1A1A1A"/>
          <w:sz w:val="22"/>
          <w:szCs w:val="22"/>
        </w:rPr>
        <w:t xml:space="preserve">Continuous correctness verification across the 278+ KPI corpus.</w:t>
      </w:r>
    </w:p>
    <w:p>
      <w:pPr>
        <w:spacing w:after="80" w:before="60" w:line="300"/>
        <w:jc w:val="both"/>
      </w:pPr>
      <w:r>
        <w:rPr>
          <w:rFonts w:ascii="Garamond" w:cs="Garamond" w:eastAsia="Garamond" w:hAnsi="Garamond"/>
          <w:color w:val="1A1A1A"/>
          <w:sz w:val="22"/>
          <w:szCs w:val="22"/>
        </w:rPr>
        <w:t xml:space="preserve">Full regression suite runs on every commit. Catches the class of bug that destroys analytics platforms in year three: the test passes, the math changed, no one notices until a customer audit. The regression suite is the engineering team's discipline against analytic decay over time.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ConfigVersioning</w:t>
      </w:r>
    </w:p>
    <w:p>
      <w:pPr>
        <w:keepNext/>
        <w:spacing w:after="80" w:before="0" w:line="280"/>
      </w:pPr>
      <w:r>
        <w:rPr>
          <w:rFonts w:ascii="Garamond" w:cs="Garamond" w:eastAsia="Garamond" w:hAnsi="Garamond"/>
          <w:i/>
          <w:iCs/>
          <w:color w:val="1A1A1A"/>
          <w:sz w:val="22"/>
          <w:szCs w:val="22"/>
        </w:rPr>
        <w:t xml:space="preserve">Configuration as code with semantic versioning and reviewed change management.</w:t>
      </w:r>
    </w:p>
    <w:p>
      <w:pPr>
        <w:spacing w:after="80" w:before="60" w:line="300"/>
        <w:jc w:val="both"/>
      </w:pPr>
      <w:r>
        <w:rPr>
          <w:rFonts w:ascii="Garamond" w:cs="Garamond" w:eastAsia="Garamond" w:hAnsi="Garamond"/>
          <w:color w:val="1A1A1A"/>
          <w:sz w:val="22"/>
          <w:szCs w:val="22"/>
        </w:rPr>
        <w:t xml:space="preserve">Every customer configuration — thresholds, attachment points, plan-year boundaries, vendor mappings — is versioned in source control with semantic versioning. Rollback is a git revert; change is a pull request requiring review. Configuration drift, the cause of many analytics-platform incidents, becomes a tractable engineering concern.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FeatureFlags</w:t>
      </w:r>
    </w:p>
    <w:p>
      <w:pPr>
        <w:keepNext/>
        <w:spacing w:after="80" w:before="0" w:line="280"/>
      </w:pPr>
      <w:r>
        <w:rPr>
          <w:rFonts w:ascii="Garamond" w:cs="Garamond" w:eastAsia="Garamond" w:hAnsi="Garamond"/>
          <w:i/>
          <w:iCs/>
          <w:color w:val="1A1A1A"/>
          <w:sz w:val="22"/>
          <w:szCs w:val="22"/>
        </w:rPr>
        <w:t xml:space="preserve">Runtime capability gating per tenant, per role, per environment.</w:t>
      </w:r>
    </w:p>
    <w:p>
      <w:pPr>
        <w:spacing w:after="80" w:before="60" w:line="300"/>
        <w:jc w:val="both"/>
      </w:pPr>
      <w:r>
        <w:rPr>
          <w:rFonts w:ascii="Garamond" w:cs="Garamond" w:eastAsia="Garamond" w:hAnsi="Garamond"/>
          <w:color w:val="1A1A1A"/>
          <w:sz w:val="22"/>
          <w:szCs w:val="22"/>
        </w:rPr>
        <w:t xml:space="preserve">New KPIs ship to internal review before customer exposure; design-partner features ship before general availability. The flag system enables staged rollout discipline and rapid rollback in the event of incident. Architectural commitment: no customer is the canary for production-grade features.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ObservabilityMetrics</w:t>
      </w:r>
    </w:p>
    <w:p>
      <w:pPr>
        <w:keepNext/>
        <w:spacing w:after="80" w:before="0" w:line="280"/>
      </w:pPr>
      <w:r>
        <w:rPr>
          <w:rFonts w:ascii="Garamond" w:cs="Garamond" w:eastAsia="Garamond" w:hAnsi="Garamond"/>
          <w:i/>
          <w:iCs/>
          <w:color w:val="1A1A1A"/>
          <w:sz w:val="22"/>
          <w:szCs w:val="22"/>
        </w:rPr>
        <w:t xml:space="preserve">Throughput, latency, error-rate, and queue-depth emission to Prometheus and OpenTelemetry.</w:t>
      </w:r>
    </w:p>
    <w:p>
      <w:pPr>
        <w:spacing w:after="80" w:before="60" w:line="300"/>
        <w:jc w:val="both"/>
      </w:pPr>
      <w:r>
        <w:rPr>
          <w:rFonts w:ascii="Garamond" w:cs="Garamond" w:eastAsia="Garamond" w:hAnsi="Garamond"/>
          <w:color w:val="1A1A1A"/>
          <w:sz w:val="22"/>
          <w:szCs w:val="22"/>
        </w:rPr>
        <w:t xml:space="preserve">Every module emits structured metrics. Grafana dashboards visualize the platform's own health. Self-observability is non-negotiable: any operational failure must be detectable from the metrics alone, without requiring source-code or log access. This is the discipline that distinguishes a service from a project.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M007  </w:t>
      </w:r>
      <w:r>
        <w:rPr>
          <w:rFonts w:ascii="Helvetica Neue" w:cs="Helvetica Neue" w:eastAsia="Helvetica Neue" w:hAnsi="Helvetica Neue"/>
          <w:b/>
          <w:bCs/>
          <w:color w:val="1A1A1A"/>
          <w:sz w:val="24"/>
          <w:szCs w:val="24"/>
        </w:rPr>
        <w:t xml:space="preserve">RunbookGenerator</w:t>
      </w:r>
    </w:p>
    <w:p>
      <w:pPr>
        <w:keepNext/>
        <w:spacing w:after="80" w:before="0" w:line="280"/>
      </w:pPr>
      <w:r>
        <w:rPr>
          <w:rFonts w:ascii="Garamond" w:cs="Garamond" w:eastAsia="Garamond" w:hAnsi="Garamond"/>
          <w:i/>
          <w:iCs/>
          <w:color w:val="1A1A1A"/>
          <w:sz w:val="22"/>
          <w:szCs w:val="22"/>
        </w:rPr>
        <w:t xml:space="preserve">Operational documentation generated as a deployment artifact.</w:t>
      </w:r>
    </w:p>
    <w:p>
      <w:pPr>
        <w:spacing w:after="80" w:before="60" w:line="300"/>
        <w:jc w:val="both"/>
      </w:pPr>
      <w:r>
        <w:rPr>
          <w:rFonts w:ascii="Garamond" w:cs="Garamond" w:eastAsia="Garamond" w:hAnsi="Garamond"/>
          <w:color w:val="1A1A1A"/>
          <w:sz w:val="22"/>
          <w:szCs w:val="22"/>
        </w:rPr>
        <w:t xml:space="preserve">Every service has a generated runbook documenting dependencies, alerts, escalation paths, and recovery procedures. The on-call engineer is never reading source code for the first time at 3 AM during an incident. The runbook is the operationalization of the platform's reliability commitment.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M008  </w:t>
      </w:r>
      <w:r>
        <w:rPr>
          <w:rFonts w:ascii="Helvetica Neue" w:cs="Helvetica Neue" w:eastAsia="Helvetica Neue" w:hAnsi="Helvetica Neue"/>
          <w:b/>
          <w:bCs/>
          <w:color w:val="1A1A1A"/>
          <w:sz w:val="24"/>
          <w:szCs w:val="24"/>
        </w:rPr>
        <w:t xml:space="preserve">PluginFramework</w:t>
      </w:r>
    </w:p>
    <w:p>
      <w:pPr>
        <w:keepNext/>
        <w:spacing w:after="80" w:before="0" w:line="280"/>
      </w:pPr>
      <w:r>
        <w:rPr>
          <w:rFonts w:ascii="Garamond" w:cs="Garamond" w:eastAsia="Garamond" w:hAnsi="Garamond"/>
          <w:i/>
          <w:iCs/>
          <w:color w:val="1A1A1A"/>
          <w:sz w:val="22"/>
          <w:szCs w:val="22"/>
        </w:rPr>
        <w:t xml:space="preserve">Customer-specific transform extensibility without core code modification.</w:t>
      </w:r>
    </w:p>
    <w:p>
      <w:pPr>
        <w:spacing w:after="80" w:before="60" w:line="300"/>
        <w:jc w:val="both"/>
      </w:pPr>
      <w:r>
        <w:rPr>
          <w:rFonts w:ascii="Garamond" w:cs="Garamond" w:eastAsia="Garamond" w:hAnsi="Garamond"/>
          <w:color w:val="1A1A1A"/>
          <w:sz w:val="22"/>
          <w:szCs w:val="22"/>
        </w:rPr>
        <w:t xml:space="preserve">A unique vendor format, a unique compliance check, a customer-specific KPI — plugs into the framework via a defined extension contract without modifying core platform code. Customization at the edges; standardization at the core. The framework is what allows the platform to handle long-tail customer needs without fragmenting into customer-specific forks.</w:t>
      </w:r>
    </w:p>
    <w:p>
      <w:r>
        <w:br w:type="page"/>
      </w:r>
    </w:p>
    <w:p>
      <w:pPr>
        <w:spacing w:after="1600" w:before="1600"/>
      </w:pPr>
      <w:r>
        <w:t xml:space="preserve"/>
      </w:r>
    </w:p>
    <w:p>
      <w:pPr>
        <w:spacing w:after="60" w:before="80"/>
        <w:jc w:val="left"/>
      </w:pPr>
      <w:r>
        <w:rPr>
          <w:rFonts w:ascii="Consolas" w:cs="Consolas" w:eastAsia="Consolas" w:hAnsi="Consolas"/>
          <w:b w:val="false"/>
          <w:bCs w:val="false"/>
          <w:color w:val="B8893F"/>
          <w:spacing w:val="60"/>
          <w:sz w:val="16"/>
          <w:szCs w:val="16"/>
        </w:rPr>
        <w:t xml:space="preserve">LAYER II  ·  OS-13 → OS-17  ·  23 MODULES</w:t>
      </w:r>
    </w:p>
    <w:p>
      <w:pPr>
        <w:spacing w:after="120" w:before="120"/>
      </w:pPr>
      <w:r>
        <w:t xml:space="preserve"/>
      </w:r>
    </w:p>
    <w:p>
      <w:pPr>
        <w:pStyle w:val="Heading1"/>
        <w:spacing w:after="160" w:before="320"/>
      </w:pPr>
      <w:r>
        <w:rPr>
          <w:rFonts w:ascii="Helvetica Neue" w:cs="Helvetica Neue" w:eastAsia="Helvetica Neue" w:hAnsi="Helvetica Neue"/>
          <w:b/>
          <w:bCs/>
          <w:color w:val="1A1A1A"/>
          <w:sz w:val="44"/>
          <w:szCs w:val="44"/>
        </w:rPr>
        <w:t xml:space="preserve">Layer II</w:t>
      </w:r>
    </w:p>
    <w:p>
      <w:pPr>
        <w:spacing w:after="240" w:before="80"/>
      </w:pPr>
      <w:r>
        <w:rPr>
          <w:rFonts w:ascii="Helvetica Neue" w:cs="Helvetica Neue" w:eastAsia="Helvetica Neue" w:hAnsi="Helvetica Neue"/>
          <w:b/>
          <w:bCs/>
          <w:i/>
          <w:iCs/>
          <w:color w:val="B8893F"/>
          <w:sz w:val="72"/>
          <w:szCs w:val="72"/>
        </w:rPr>
        <w:t xml:space="preserve">Continuous Verification</w:t>
      </w:r>
    </w:p>
    <w:p>
      <w:pPr>
        <w:pBdr>
          <w:bottom w:val="single" w:color="B8893F" w:sz="6" w:space="1"/>
        </w:pBdr>
        <w:spacing w:after="80" w:before="80"/>
      </w:pPr>
      <w:r>
        <w:t xml:space="preserve"/>
      </w:r>
    </w:p>
    <w:p>
      <w:pPr>
        <w:spacing w:after="160" w:before="160"/>
      </w:pPr>
      <w:r>
        <w:t xml:space="preserve"/>
      </w:r>
    </w:p>
    <w:p>
      <w:pPr>
        <w:spacing w:after="120" w:before="80" w:line="320"/>
        <w:jc w:val="left"/>
      </w:pPr>
      <w:r>
        <w:rPr>
          <w:rFonts w:ascii="Garamond" w:cs="Garamond" w:eastAsia="Garamond" w:hAnsi="Garamond"/>
          <w:i/>
          <w:iCs/>
          <w:color w:val="1A1A1A"/>
          <w:sz w:val="22"/>
          <w:szCs w:val="22"/>
        </w:rPr>
        <w:t xml:space="preserve">Always-on enforcement. Drift surveillance, contract reconciliation, fiduciary scoring — running in real time against every published claim.</w:t>
      </w:r>
    </w:p>
    <w:p>
      <w:r>
        <w:br w:type="page"/>
      </w:r>
    </w:p>
    <w:p>
      <w:pPr>
        <w:spacing w:after="60" w:before="80"/>
        <w:jc w:val="left"/>
      </w:pPr>
      <w:r>
        <w:rPr>
          <w:rFonts w:ascii="Consolas" w:cs="Consolas" w:eastAsia="Consolas" w:hAnsi="Consolas"/>
          <w:b w:val="false"/>
          <w:bCs w:val="false"/>
          <w:color w:val="B8893F"/>
          <w:spacing w:val="60"/>
          <w:sz w:val="14"/>
          <w:szCs w:val="14"/>
        </w:rPr>
        <w:t xml:space="preserve">OS-13  ·  LAYER 2  ·  6 MODULES</w:t>
      </w:r>
    </w:p>
    <w:p>
      <w:pPr>
        <w:pStyle w:val="Heading2"/>
        <w:spacing w:after="100" w:before="240"/>
      </w:pPr>
      <w:r>
        <w:rPr>
          <w:rFonts w:ascii="Helvetica Neue" w:cs="Helvetica Neue" w:eastAsia="Helvetica Neue" w:hAnsi="Helvetica Neue"/>
          <w:b/>
          <w:bCs/>
          <w:color w:val="1A1A1A"/>
          <w:sz w:val="32"/>
          <w:szCs w:val="32"/>
        </w:rPr>
        <w:t xml:space="preserve">Continuous Verification</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standing army. Always on, watching every signal, enforcing publication law in real time. The operating system effects the architectural shift from case-based analytics (analyze once, ship a report) to verification infrastructure (verify continuously, publish only what currently verifies).</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EventIngestionStream</w:t>
      </w:r>
    </w:p>
    <w:p>
      <w:pPr>
        <w:keepNext/>
        <w:spacing w:after="80" w:before="0" w:line="280"/>
      </w:pPr>
      <w:r>
        <w:rPr>
          <w:rFonts w:ascii="Garamond" w:cs="Garamond" w:eastAsia="Garamond" w:hAnsi="Garamond"/>
          <w:i/>
          <w:iCs/>
          <w:color w:val="1A1A1A"/>
          <w:sz w:val="22"/>
          <w:szCs w:val="22"/>
        </w:rPr>
        <w:t xml:space="preserve">Kafka-backed event spine for the verification layer.</w:t>
      </w:r>
    </w:p>
    <w:p>
      <w:pPr>
        <w:spacing w:after="80" w:before="60" w:line="300"/>
        <w:jc w:val="both"/>
      </w:pPr>
      <w:r>
        <w:rPr>
          <w:rFonts w:ascii="Garamond" w:cs="Garamond" w:eastAsia="Garamond" w:hAnsi="Garamond"/>
          <w:color w:val="1A1A1A"/>
          <w:sz w:val="22"/>
          <w:szCs w:val="22"/>
        </w:rPr>
        <w:t xml:space="preserve">Every ingestion, every transform, every state change, every export emits a structured event onto the stream. The verification layer subscribes and acts. The stream architecture is what makes the platform reactive rather than scheduled; verification fires in response to events, not on a cron timer.</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DriftSurveillanceEngine</w:t>
      </w:r>
    </w:p>
    <w:p>
      <w:pPr>
        <w:keepNext/>
        <w:spacing w:after="80" w:before="0" w:line="280"/>
      </w:pPr>
      <w:r>
        <w:rPr>
          <w:rFonts w:ascii="Garamond" w:cs="Garamond" w:eastAsia="Garamond" w:hAnsi="Garamond"/>
          <w:i/>
          <w:iCs/>
          <w:color w:val="1A1A1A"/>
          <w:sz w:val="22"/>
          <w:szCs w:val="22"/>
        </w:rPr>
        <w:t xml:space="preserve">Statistical drift detection against published distributions.</w:t>
      </w:r>
    </w:p>
    <w:p>
      <w:pPr>
        <w:spacing w:after="80" w:before="60" w:line="300"/>
        <w:jc w:val="both"/>
      </w:pPr>
      <w:r>
        <w:rPr>
          <w:rFonts w:ascii="Garamond" w:cs="Garamond" w:eastAsia="Garamond" w:hAnsi="Garamond"/>
          <w:color w:val="1A1A1A"/>
          <w:sz w:val="22"/>
          <w:szCs w:val="22"/>
        </w:rPr>
        <w:t xml:space="preserve">Watches canonical-table distributions for changes exceeding configured significance thresholds — population shift, claim-mix shift, vendor-fee shift. Drift events feed AlertRouter and may auto-suspend publication of affected KPIs pending review. The engine is the platform's mechanism for distinguishing real economic change from data-pipeline failure: both produce drift, and the platform refuses to publish numbers it cannot reliably attribute.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PolicyEnforcementTriggers</w:t>
      </w:r>
    </w:p>
    <w:p>
      <w:pPr>
        <w:keepNext/>
        <w:spacing w:after="80" w:before="0" w:line="280"/>
      </w:pPr>
      <w:r>
        <w:rPr>
          <w:rFonts w:ascii="Garamond" w:cs="Garamond" w:eastAsia="Garamond" w:hAnsi="Garamond"/>
          <w:i/>
          <w:iCs/>
          <w:color w:val="1A1A1A"/>
          <w:sz w:val="22"/>
          <w:szCs w:val="22"/>
        </w:rPr>
        <w:t xml:space="preserve">Runtime policy re-evaluation on upstream change events.</w:t>
      </w:r>
    </w:p>
    <w:p>
      <w:pPr>
        <w:spacing w:after="80" w:before="60" w:line="300"/>
        <w:jc w:val="both"/>
      </w:pPr>
      <w:r>
        <w:rPr>
          <w:rFonts w:ascii="Garamond" w:cs="Garamond" w:eastAsia="Garamond" w:hAnsi="Garamond"/>
          <w:color w:val="1A1A1A"/>
          <w:sz w:val="22"/>
          <w:szCs w:val="22"/>
        </w:rPr>
        <w:t xml:space="preserve">When a published KPI ages past its freshness SLA, when evidence is superseded by a corrected version, when a vendor contract is amended — triggers fire, PolicyResults are recomputed, and stale claims are demoted to UNVERIFIED status. Stale truth becomes unverified truth instantly rather than persisting in cached form.</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LiveRiskIndex</w:t>
      </w:r>
    </w:p>
    <w:p>
      <w:pPr>
        <w:keepNext/>
        <w:spacing w:after="80" w:before="0" w:line="280"/>
      </w:pPr>
      <w:r>
        <w:rPr>
          <w:rFonts w:ascii="Garamond" w:cs="Garamond" w:eastAsia="Garamond" w:hAnsi="Garamond"/>
          <w:i/>
          <w:iCs/>
          <w:color w:val="1A1A1A"/>
          <w:sz w:val="22"/>
          <w:szCs w:val="22"/>
        </w:rPr>
        <w:t xml:space="preserve">Continuously-updated 0–100 fiduciary-risk score per plan.</w:t>
      </w:r>
    </w:p>
    <w:p>
      <w:pPr>
        <w:spacing w:after="80" w:before="60" w:line="300"/>
        <w:jc w:val="both"/>
      </w:pPr>
      <w:r>
        <w:rPr>
          <w:rFonts w:ascii="Garamond" w:cs="Garamond" w:eastAsia="Garamond" w:hAnsi="Garamond"/>
          <w:color w:val="1A1A1A"/>
          <w:sz w:val="22"/>
          <w:szCs w:val="22"/>
        </w:rPr>
        <w:t xml:space="preserve">Composite of contract risk (OS-14), drift risk (OS-13), evidence-freshness risk (OS-01), and finding-severity risk (OS-04 / OS-05). Updated in real time. The dial the CFO checks every morning; the dashboard a board sees first. The composite is the platform's executive-grade summary of plan fiduciary posture.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VerificationScheduler</w:t>
      </w:r>
    </w:p>
    <w:p>
      <w:pPr>
        <w:keepNext/>
        <w:spacing w:after="80" w:before="0" w:line="280"/>
      </w:pPr>
      <w:r>
        <w:rPr>
          <w:rFonts w:ascii="Garamond" w:cs="Garamond" w:eastAsia="Garamond" w:hAnsi="Garamond"/>
          <w:i/>
          <w:iCs/>
          <w:color w:val="1A1A1A"/>
          <w:sz w:val="22"/>
          <w:szCs w:val="22"/>
        </w:rPr>
        <w:t xml:space="preserve">Periodic re-verification cadence even for non-drifting KPIs.</w:t>
      </w:r>
    </w:p>
    <w:p>
      <w:pPr>
        <w:spacing w:after="80" w:before="60" w:line="300"/>
        <w:jc w:val="both"/>
      </w:pPr>
      <w:r>
        <w:rPr>
          <w:rFonts w:ascii="Garamond" w:cs="Garamond" w:eastAsia="Garamond" w:hAnsi="Garamond"/>
          <w:color w:val="1A1A1A"/>
          <w:sz w:val="22"/>
          <w:szCs w:val="22"/>
        </w:rPr>
        <w:t xml:space="preserve">Verification is a habit, not an event. KPIs that do not drift are still re-verified on schedule — monthly, quarterly, annually depending on KPI class. The scheduler ensures that the absence of drift does not become an excuse for absence of verification.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M006  </w:t>
      </w:r>
      <w:r>
        <w:rPr>
          <w:rFonts w:ascii="Helvetica Neue" w:cs="Helvetica Neue" w:eastAsia="Helvetica Neue" w:hAnsi="Helvetica Neue"/>
          <w:b/>
          <w:bCs/>
          <w:color w:val="1A1A1A"/>
          <w:sz w:val="24"/>
          <w:szCs w:val="24"/>
        </w:rPr>
        <w:t xml:space="preserve">AlertRouter</w:t>
      </w:r>
    </w:p>
    <w:p>
      <w:pPr>
        <w:keepNext/>
        <w:spacing w:after="80" w:before="0" w:line="280"/>
      </w:pPr>
      <w:r>
        <w:rPr>
          <w:rFonts w:ascii="Garamond" w:cs="Garamond" w:eastAsia="Garamond" w:hAnsi="Garamond"/>
          <w:i/>
          <w:iCs/>
          <w:color w:val="1A1A1A"/>
          <w:sz w:val="22"/>
          <w:szCs w:val="22"/>
        </w:rPr>
        <w:t xml:space="preserve">Severity-graded notification routing to appropriate audiences.</w:t>
      </w:r>
    </w:p>
    <w:p>
      <w:pPr>
        <w:spacing w:after="80" w:before="60" w:line="300"/>
        <w:jc w:val="both"/>
      </w:pPr>
      <w:r>
        <w:rPr>
          <w:rFonts w:ascii="Garamond" w:cs="Garamond" w:eastAsia="Garamond" w:hAnsi="Garamond"/>
          <w:color w:val="1A1A1A"/>
          <w:sz w:val="22"/>
          <w:szCs w:val="22"/>
        </w:rPr>
        <w:t xml:space="preserve">INFO / WARN / CRITICAL routed to the appropriate audience: operational engineers for system events, plan committees for fiduciary events, board chairs for material EBITDA events. Right alert, right audience, right channel — the discipline that prevents alert fatigue from compromising the alerting function itself.</w:t>
      </w:r>
    </w:p>
    <w:p>
      <w:r>
        <w:br w:type="page"/>
      </w:r>
    </w:p>
    <w:p>
      <w:pPr>
        <w:spacing w:after="60" w:before="80"/>
        <w:jc w:val="left"/>
      </w:pPr>
      <w:r>
        <w:rPr>
          <w:rFonts w:ascii="Consolas" w:cs="Consolas" w:eastAsia="Consolas" w:hAnsi="Consolas"/>
          <w:b w:val="false"/>
          <w:bCs w:val="false"/>
          <w:color w:val="B8893F"/>
          <w:spacing w:val="60"/>
          <w:sz w:val="14"/>
          <w:szCs w:val="14"/>
        </w:rPr>
        <w:t xml:space="preserve">OS-14  ·  LAYER 2  ·  5 MODULES</w:t>
      </w:r>
    </w:p>
    <w:p>
      <w:pPr>
        <w:pStyle w:val="Heading2"/>
        <w:spacing w:after="100" w:before="240"/>
      </w:pPr>
      <w:r>
        <w:rPr>
          <w:rFonts w:ascii="Helvetica Neue" w:cs="Helvetica Neue" w:eastAsia="Helvetica Neue" w:hAnsi="Helvetica Neue"/>
          <w:b/>
          <w:bCs/>
          <w:color w:val="1A1A1A"/>
          <w:sz w:val="32"/>
          <w:szCs w:val="32"/>
        </w:rPr>
        <w:t xml:space="preserve">Contract Enforcement</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contract becomes code. What the executed document says, the platform enforces. The operating system effects the architectural transition from contract as static reference to contract as executable rule set.</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ClauseExtractionAndStructuring</w:t>
      </w:r>
    </w:p>
    <w:p>
      <w:pPr>
        <w:keepNext/>
        <w:spacing w:after="80" w:before="0" w:line="280"/>
      </w:pPr>
      <w:r>
        <w:rPr>
          <w:rFonts w:ascii="Garamond" w:cs="Garamond" w:eastAsia="Garamond" w:hAnsi="Garamond"/>
          <w:i/>
          <w:iCs/>
          <w:color w:val="1A1A1A"/>
          <w:sz w:val="22"/>
          <w:szCs w:val="22"/>
        </w:rPr>
        <w:t xml:space="preserve">Contract decomposition into structured clause objects with category and risk-tier metadata.</w:t>
      </w:r>
    </w:p>
    <w:p>
      <w:pPr>
        <w:spacing w:after="80" w:before="60" w:line="300"/>
        <w:jc w:val="both"/>
      </w:pPr>
      <w:r>
        <w:rPr>
          <w:rFonts w:ascii="Garamond" w:cs="Garamond" w:eastAsia="Garamond" w:hAnsi="Garamond"/>
          <w:color w:val="1A1A1A"/>
          <w:sz w:val="22"/>
          <w:szCs w:val="22"/>
        </w:rPr>
        <w:t xml:space="preserve">PBM master services agreements, ASO contracts, stop-loss treaties, broker agreements, network access deals — every financially-material clause becomes a structured object (clause_id, category, language, parameters, risk_tier, dollar_exposure_range). The structuring is the precondition for everything else in OS-14; an unstructured contract is operationally inert.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ClauseVectorizationToPolicy</w:t>
      </w:r>
    </w:p>
    <w:p>
      <w:pPr>
        <w:keepNext/>
        <w:spacing w:after="80" w:before="0" w:line="280"/>
      </w:pPr>
      <w:r>
        <w:rPr>
          <w:rFonts w:ascii="Garamond" w:cs="Garamond" w:eastAsia="Garamond" w:hAnsi="Garamond"/>
          <w:i/>
          <w:iCs/>
          <w:color w:val="1A1A1A"/>
          <w:sz w:val="22"/>
          <w:szCs w:val="22"/>
        </w:rPr>
        <w:t xml:space="preserve">Compilation of clause objects into runtime-evaluable PolicyDSLv1 rules.</w:t>
      </w:r>
    </w:p>
    <w:p>
      <w:pPr>
        <w:spacing w:after="80" w:before="60" w:line="300"/>
        <w:jc w:val="both"/>
      </w:pPr>
      <w:r>
        <w:rPr>
          <w:rFonts w:ascii="Garamond" w:cs="Garamond" w:eastAsia="Garamond" w:hAnsi="Garamond"/>
          <w:color w:val="1A1A1A"/>
          <w:sz w:val="22"/>
          <w:szCs w:val="22"/>
        </w:rPr>
        <w:t xml:space="preserve">A rebate-passthrough clause requiring 'no less than 100% of class X rebates' compiles to a runtime test against claims data with a measurable pass/fail per period and an explicit dollar shortfall calculation. The compilation is the bridge from legal text to executable rule — and the precondition for treating performance against contract as a continuously monitored variable.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AuditRightsMonitor</w:t>
      </w:r>
    </w:p>
    <w:p>
      <w:pPr>
        <w:keepNext/>
        <w:spacing w:after="80" w:before="0" w:line="280"/>
      </w:pPr>
      <w:r>
        <w:rPr>
          <w:rFonts w:ascii="Garamond" w:cs="Garamond" w:eastAsia="Garamond" w:hAnsi="Garamond"/>
          <w:i/>
          <w:iCs/>
          <w:color w:val="1A1A1A"/>
          <w:sz w:val="22"/>
          <w:szCs w:val="22"/>
        </w:rPr>
        <w:t xml:space="preserve">Audit-window tracking with pre-expiration alerting and automated packet preparation.</w:t>
      </w:r>
    </w:p>
    <w:p>
      <w:pPr>
        <w:spacing w:after="80" w:before="60" w:line="300"/>
        <w:jc w:val="both"/>
      </w:pPr>
      <w:r>
        <w:rPr>
          <w:rFonts w:ascii="Garamond" w:cs="Garamond" w:eastAsia="Garamond" w:hAnsi="Garamond"/>
          <w:color w:val="1A1A1A"/>
          <w:sz w:val="22"/>
          <w:szCs w:val="22"/>
        </w:rPr>
        <w:t xml:space="preserve">Most PBM and ASO contracts contain finite audit-rights windows — typically two or three years from claim date. This module tracks every window, alerts in advance of expiration, and prepares the audit packet automatically. The strategic implication: missed audit windows, which in current practice silently forfeit millions in recoverable claims, become routine operational tasks the platform manages on the customer's behalf.</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GuaranteeValidator</w:t>
      </w:r>
    </w:p>
    <w:p>
      <w:pPr>
        <w:keepNext/>
        <w:spacing w:after="80" w:before="0" w:line="280"/>
      </w:pPr>
      <w:r>
        <w:rPr>
          <w:rFonts w:ascii="Garamond" w:cs="Garamond" w:eastAsia="Garamond" w:hAnsi="Garamond"/>
          <w:i/>
          <w:iCs/>
          <w:color w:val="1A1A1A"/>
          <w:sz w:val="22"/>
          <w:szCs w:val="22"/>
        </w:rPr>
        <w:t xml:space="preserve">Performance-guarantee reconciliation against actual measured performance.</w:t>
      </w:r>
    </w:p>
    <w:p>
      <w:pPr>
        <w:spacing w:after="80" w:before="60" w:line="300"/>
        <w:jc w:val="both"/>
      </w:pPr>
      <w:r>
        <w:rPr>
          <w:rFonts w:ascii="Garamond" w:cs="Garamond" w:eastAsia="Garamond" w:hAnsi="Garamond"/>
          <w:color w:val="1A1A1A"/>
          <w:sz w:val="22"/>
          <w:szCs w:val="22"/>
        </w:rPr>
        <w:t xml:space="preserve">Generic dispensing rates, mail-order penetration, customer-service response times, claim-payment accuracy — each guarantee is reconciled against actual quarterly performance with explicit pass/fail determination and dollar-credit calculation where contractually required. Most contracts contain guarantees that are never enforced; the validator changes that economics.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ContractRiskScoring</w:t>
      </w:r>
    </w:p>
    <w:p>
      <w:pPr>
        <w:keepNext/>
        <w:spacing w:after="80" w:before="0" w:line="280"/>
      </w:pPr>
      <w:r>
        <w:rPr>
          <w:rFonts w:ascii="Garamond" w:cs="Garamond" w:eastAsia="Garamond" w:hAnsi="Garamond"/>
          <w:i/>
          <w:iCs/>
          <w:color w:val="1A1A1A"/>
          <w:sz w:val="22"/>
          <w:szCs w:val="22"/>
        </w:rPr>
        <w:t xml:space="preserve">Per-contract risk index composing clause-density, opacity, audit-rights, and guarantee strength.</w:t>
      </w:r>
    </w:p>
    <w:p>
      <w:pPr>
        <w:spacing w:after="80" w:before="60" w:line="300"/>
        <w:jc w:val="both"/>
      </w:pPr>
      <w:r>
        <w:rPr>
          <w:rFonts w:ascii="Garamond" w:cs="Garamond" w:eastAsia="Garamond" w:hAnsi="Garamond"/>
          <w:color w:val="1A1A1A"/>
          <w:sz w:val="22"/>
          <w:szCs w:val="22"/>
        </w:rPr>
        <w:t xml:space="preserve">Composite 0–100 score: a contract earning 38 is a renewal priority; a contract earning 88 is acceptable. The score is the executive summary of the contract's structural fiduciary posture, decomposable into its components for diagnostic depth.</w:t>
      </w:r>
    </w:p>
    <w:p>
      <w:r>
        <w:br w:type="page"/>
      </w:r>
    </w:p>
    <w:p>
      <w:pPr>
        <w:spacing w:after="60" w:before="80"/>
        <w:jc w:val="left"/>
      </w:pPr>
      <w:r>
        <w:rPr>
          <w:rFonts w:ascii="Consolas" w:cs="Consolas" w:eastAsia="Consolas" w:hAnsi="Consolas"/>
          <w:b w:val="false"/>
          <w:bCs w:val="false"/>
          <w:color w:val="B8893F"/>
          <w:spacing w:val="60"/>
          <w:sz w:val="14"/>
          <w:szCs w:val="14"/>
        </w:rPr>
        <w:t xml:space="preserve">OS-15  ·  LAYER 2  ·  4 MODULES</w:t>
      </w:r>
    </w:p>
    <w:p>
      <w:pPr>
        <w:pStyle w:val="Heading2"/>
        <w:spacing w:after="100" w:before="240"/>
      </w:pPr>
      <w:r>
        <w:rPr>
          <w:rFonts w:ascii="Helvetica Neue" w:cs="Helvetica Neue" w:eastAsia="Helvetica Neue" w:hAnsi="Helvetica Neue"/>
          <w:b/>
          <w:bCs/>
          <w:color w:val="1A1A1A"/>
          <w:sz w:val="32"/>
          <w:szCs w:val="32"/>
        </w:rPr>
        <w:t xml:space="preserve">Enterprise Value</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translation layer between benefits findings and enterprise value, EBITDA, and capital allocation. The operating system imports the Stern Stewart and EY-Parthenon discipline of expressing every operating-cost decision in terms of its consequence for invested capital and economic profit.</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ValueSensitivityEngine</w:t>
      </w:r>
    </w:p>
    <w:p>
      <w:pPr>
        <w:keepNext/>
        <w:spacing w:after="80" w:before="0" w:line="280"/>
      </w:pPr>
      <w:r>
        <w:rPr>
          <w:rFonts w:ascii="Garamond" w:cs="Garamond" w:eastAsia="Garamond" w:hAnsi="Garamond"/>
          <w:i/>
          <w:iCs/>
          <w:color w:val="1A1A1A"/>
          <w:sz w:val="22"/>
          <w:szCs w:val="22"/>
        </w:rPr>
        <w:t xml:space="preserve">ΔEBITDA-per-intervention-dollar and ΔEnterprise-Value-per-intervention-dollar computation.</w:t>
      </w:r>
    </w:p>
    <w:p>
      <w:pPr>
        <w:spacing w:after="80" w:before="60" w:line="300"/>
        <w:jc w:val="both"/>
      </w:pPr>
      <w:r>
        <w:rPr>
          <w:rFonts w:ascii="Garamond" w:cs="Garamond" w:eastAsia="Garamond" w:hAnsi="Garamond"/>
          <w:color w:val="1A1A1A"/>
          <w:sz w:val="22"/>
          <w:szCs w:val="22"/>
        </w:rPr>
        <w:t xml:space="preserve">For every potential remediation, computes the sensitivity: a dollar of recovered Rx leakage at a customer's reference multiple corresponds to a specific dollar of enterprise-value impact. The engine is the architectural commitment that benefits decisions are finance decisions, and that the platform refuses to express them in any lower-resolution frame.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FiduciaryStabilityIndex</w:t>
      </w:r>
    </w:p>
    <w:p>
      <w:pPr>
        <w:keepNext/>
        <w:spacing w:after="80" w:before="0" w:line="280"/>
      </w:pPr>
      <w:r>
        <w:rPr>
          <w:rFonts w:ascii="Garamond" w:cs="Garamond" w:eastAsia="Garamond" w:hAnsi="Garamond"/>
          <w:i/>
          <w:iCs/>
          <w:color w:val="1A1A1A"/>
          <w:sz w:val="22"/>
          <w:szCs w:val="22"/>
        </w:rPr>
        <w:t xml:space="preserve">FSI™ — proprietary 0–100 fiduciary-stability score for diligence and ongoing monitoring.</w:t>
      </w:r>
    </w:p>
    <w:p>
      <w:pPr>
        <w:spacing w:after="80" w:before="60" w:line="300"/>
        <w:jc w:val="both"/>
      </w:pPr>
      <w:r>
        <w:rPr>
          <w:rFonts w:ascii="Garamond" w:cs="Garamond" w:eastAsia="Garamond" w:hAnsi="Garamond"/>
          <w:color w:val="1A1A1A"/>
          <w:sz w:val="22"/>
          <w:szCs w:val="22"/>
        </w:rPr>
        <w:t xml:space="preserve">Composite of contract risk, evidence freshness, governance completeness, and disclosure quality. The Moody's-style rating instrument that private-equity deal teams, family offices, and boards request during M&amp;A diligence and ongoing portfolio monitoring. FSI™ is the platform's distinctive contribution to the diligence asset class.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DealDiligencePackGenerator</w:t>
      </w:r>
    </w:p>
    <w:p>
      <w:pPr>
        <w:keepNext/>
        <w:spacing w:after="80" w:before="0" w:line="280"/>
      </w:pPr>
      <w:r>
        <w:rPr>
          <w:rFonts w:ascii="Garamond" w:cs="Garamond" w:eastAsia="Garamond" w:hAnsi="Garamond"/>
          <w:i/>
          <w:iCs/>
          <w:color w:val="1A1A1A"/>
          <w:sz w:val="22"/>
          <w:szCs w:val="22"/>
        </w:rPr>
        <w:t xml:space="preserve">M&amp;A-ready data-room artifact generated from continuously-current platform state.</w:t>
      </w:r>
    </w:p>
    <w:p>
      <w:pPr>
        <w:spacing w:after="80" w:before="60" w:line="300"/>
        <w:jc w:val="both"/>
      </w:pPr>
      <w:r>
        <w:rPr>
          <w:rFonts w:ascii="Garamond" w:cs="Garamond" w:eastAsia="Garamond" w:hAnsi="Garamond"/>
          <w:color w:val="1A1A1A"/>
          <w:sz w:val="22"/>
          <w:szCs w:val="22"/>
        </w:rPr>
        <w:t xml:space="preserve">Three-year benefits forensic, EBITDA-impact reconstruction, fiduciary posture, contract-risk summary, FSI™ score, recoverable-EBITDA projection. The package a private-equity deal team receives in week one and uses to reprice in week three. Strategic positioning: the platform turns a portfolio-company benefits review from a multi-month exercise into a same-day deliverable.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CapitalAllocationSignals</w:t>
      </w:r>
    </w:p>
    <w:p>
      <w:pPr>
        <w:keepNext/>
        <w:spacing w:after="80" w:before="0" w:line="280"/>
      </w:pPr>
      <w:r>
        <w:rPr>
          <w:rFonts w:ascii="Garamond" w:cs="Garamond" w:eastAsia="Garamond" w:hAnsi="Garamond"/>
          <w:i/>
          <w:iCs/>
          <w:color w:val="1A1A1A"/>
          <w:sz w:val="22"/>
          <w:szCs w:val="22"/>
        </w:rPr>
        <w:t xml:space="preserve">Healthcare-spend-as-deployed-capital framing with EVA computation.</w:t>
      </w:r>
    </w:p>
    <w:p>
      <w:pPr>
        <w:spacing w:after="80" w:before="60" w:line="300"/>
        <w:jc w:val="both"/>
      </w:pPr>
      <w:r>
        <w:rPr>
          <w:rFonts w:ascii="Garamond" w:cs="Garamond" w:eastAsia="Garamond" w:hAnsi="Garamond"/>
          <w:color w:val="1A1A1A"/>
          <w:sz w:val="22"/>
          <w:szCs w:val="22"/>
        </w:rPr>
        <w:t xml:space="preserve">Treats healthcare spend as deployed capital with a return profile. EVA = NOPAT − (Capital × WACC). Where the return is negative — which is the typical case under contemporary plan economics — the platform says so. The Stern Stewart discipline imported into benefits, with the architectural consequence that 'healthcare cost' is reframed as 'misallocated capital,' which is the framing the board responds to.</w:t>
      </w:r>
    </w:p>
    <w:p>
      <w:r>
        <w:br w:type="page"/>
      </w:r>
    </w:p>
    <w:p>
      <w:pPr>
        <w:spacing w:after="60" w:before="80"/>
        <w:jc w:val="left"/>
      </w:pPr>
      <w:r>
        <w:rPr>
          <w:rFonts w:ascii="Consolas" w:cs="Consolas" w:eastAsia="Consolas" w:hAnsi="Consolas"/>
          <w:b w:val="false"/>
          <w:bCs w:val="false"/>
          <w:color w:val="B8893F"/>
          <w:spacing w:val="60"/>
          <w:sz w:val="14"/>
          <w:szCs w:val="14"/>
        </w:rPr>
        <w:t xml:space="preserve">OS-16  ·  LAYER 2  ·  4 MODULES</w:t>
      </w:r>
    </w:p>
    <w:p>
      <w:pPr>
        <w:pStyle w:val="Heading2"/>
        <w:spacing w:after="100" w:before="240"/>
      </w:pPr>
      <w:r>
        <w:rPr>
          <w:rFonts w:ascii="Helvetica Neue" w:cs="Helvetica Neue" w:eastAsia="Helvetica Neue" w:hAnsi="Helvetica Neue"/>
          <w:b/>
          <w:bCs/>
          <w:color w:val="1A1A1A"/>
          <w:sz w:val="32"/>
          <w:szCs w:val="32"/>
        </w:rPr>
        <w:t xml:space="preserve">Market Intelligence Network</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Privacy-preserving collective intelligence. The whole network learns from every member's experience; no member's data leaves their boundary. The operating system is the architectural realization of the principle that benchmarking is more powerful as a federated, cryptographically-isolated capability than as a centralized data-pooling exercise.</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AnonymizationAndAggregation</w:t>
      </w:r>
    </w:p>
    <w:p>
      <w:pPr>
        <w:keepNext/>
        <w:spacing w:after="80" w:before="0" w:line="280"/>
      </w:pPr>
      <w:r>
        <w:rPr>
          <w:rFonts w:ascii="Garamond" w:cs="Garamond" w:eastAsia="Garamond" w:hAnsi="Garamond"/>
          <w:i/>
          <w:iCs/>
          <w:color w:val="1A1A1A"/>
          <w:sz w:val="22"/>
          <w:szCs w:val="22"/>
        </w:rPr>
        <w:t xml:space="preserve">K-anonymity enforcement and differential-privacy noise calibration in code.</w:t>
      </w:r>
    </w:p>
    <w:p>
      <w:pPr>
        <w:spacing w:after="80" w:before="60" w:line="300"/>
        <w:jc w:val="both"/>
      </w:pPr>
      <w:r>
        <w:rPr>
          <w:rFonts w:ascii="Garamond" w:cs="Garamond" w:eastAsia="Garamond" w:hAnsi="Garamond"/>
          <w:color w:val="1A1A1A"/>
          <w:sz w:val="22"/>
          <w:szCs w:val="22"/>
        </w:rPr>
        <w:t xml:space="preserve">Cohort minimum sizes (typically k ≥ 30) enforced before any benchmark renders. Differential-privacy noise added where appropriate, with explicit calibration and explicit labeling — never overclaimed. Privacy is a code property, enforced architecturally, not a policy aspiration.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BenchmarkEngine</w:t>
      </w:r>
    </w:p>
    <w:p>
      <w:pPr>
        <w:keepNext/>
        <w:spacing w:after="80" w:before="0" w:line="280"/>
      </w:pPr>
      <w:r>
        <w:rPr>
          <w:rFonts w:ascii="Garamond" w:cs="Garamond" w:eastAsia="Garamond" w:hAnsi="Garamond"/>
          <w:i/>
          <w:iCs/>
          <w:color w:val="1A1A1A"/>
          <w:sz w:val="22"/>
          <w:szCs w:val="22"/>
        </w:rPr>
        <w:t xml:space="preserve">Federated cohort comparison engine with industry, size, and geography stratification.</w:t>
      </w:r>
    </w:p>
    <w:p>
      <w:pPr>
        <w:spacing w:after="80" w:before="60" w:line="300"/>
        <w:jc w:val="both"/>
      </w:pPr>
      <w:r>
        <w:rPr>
          <w:rFonts w:ascii="Garamond" w:cs="Garamond" w:eastAsia="Garamond" w:hAnsi="Garamond"/>
          <w:color w:val="1A1A1A"/>
          <w:sz w:val="22"/>
          <w:szCs w:val="22"/>
        </w:rPr>
        <w:t xml:space="preserve">Computes PEPM, trend, claim-mix, and contract-economics distributions across stratified cohorts. The customer sees their position — quartile, decile, peer rank — without ever seeing another customer's data. The engine is the architectural answer to the benchmarking trade-off: useful comparison without privacy compromise.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VendorPatternDetection</w:t>
      </w:r>
    </w:p>
    <w:p>
      <w:pPr>
        <w:keepNext/>
        <w:spacing w:after="80" w:before="0" w:line="280"/>
      </w:pPr>
      <w:r>
        <w:rPr>
          <w:rFonts w:ascii="Garamond" w:cs="Garamond" w:eastAsia="Garamond" w:hAnsi="Garamond"/>
          <w:i/>
          <w:iCs/>
          <w:color w:val="1A1A1A"/>
          <w:sz w:val="22"/>
          <w:szCs w:val="22"/>
        </w:rPr>
        <w:t xml:space="preserve">Cross-employer vendor-behavior surveillance for systematic-pattern identification.</w:t>
      </w:r>
    </w:p>
    <w:p>
      <w:pPr>
        <w:spacing w:after="80" w:before="60" w:line="300"/>
        <w:jc w:val="both"/>
      </w:pPr>
      <w:r>
        <w:rPr>
          <w:rFonts w:ascii="Garamond" w:cs="Garamond" w:eastAsia="Garamond" w:hAnsi="Garamond"/>
          <w:color w:val="1A1A1A"/>
          <w:sz w:val="22"/>
          <w:szCs w:val="22"/>
        </w:rPr>
        <w:t xml:space="preserve">When the same PBM exhibits the same under-remittance pattern across multiple employer-customers of the platform, the network detects the pattern before any single employer would. The detection is class-action-grade evidence when aggregated, responsibly anonymized when published, and structurally beyond the diagnostic capacity of any individual employer's analytics.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EmergingRiskRadar</w:t>
      </w:r>
    </w:p>
    <w:p>
      <w:pPr>
        <w:keepNext/>
        <w:spacing w:after="80" w:before="0" w:line="280"/>
      </w:pPr>
      <w:r>
        <w:rPr>
          <w:rFonts w:ascii="Garamond" w:cs="Garamond" w:eastAsia="Garamond" w:hAnsi="Garamond"/>
          <w:i/>
          <w:iCs/>
          <w:color w:val="1A1A1A"/>
          <w:sz w:val="22"/>
          <w:szCs w:val="22"/>
        </w:rPr>
        <w:t xml:space="preserve">Forward-signal aggregation for risks that have not yet hit the median employer.</w:t>
      </w:r>
    </w:p>
    <w:p>
      <w:pPr>
        <w:spacing w:after="80" w:before="60" w:line="300"/>
        <w:jc w:val="both"/>
      </w:pPr>
      <w:r>
        <w:rPr>
          <w:rFonts w:ascii="Garamond" w:cs="Garamond" w:eastAsia="Garamond" w:hAnsi="Garamond"/>
          <w:color w:val="1A1A1A"/>
          <w:sz w:val="22"/>
          <w:szCs w:val="22"/>
        </w:rPr>
        <w:t xml:space="preserve">GLP-1 utilization curves, gene-therapy claim counts, new-vendor entry into specific market segments, regulatory shifts. The radar is the platform's early-warning function for the class of risks that an individual employer cannot see — by definition, because the signal is below the noise threshold at single-employer scale.</w:t>
      </w:r>
    </w:p>
    <w:p>
      <w:r>
        <w:br w:type="page"/>
      </w:r>
    </w:p>
    <w:p>
      <w:pPr>
        <w:spacing w:after="60" w:before="80"/>
        <w:jc w:val="left"/>
      </w:pPr>
      <w:r>
        <w:rPr>
          <w:rFonts w:ascii="Consolas" w:cs="Consolas" w:eastAsia="Consolas" w:hAnsi="Consolas"/>
          <w:b w:val="false"/>
          <w:bCs w:val="false"/>
          <w:color w:val="B8893F"/>
          <w:spacing w:val="60"/>
          <w:sz w:val="14"/>
          <w:szCs w:val="14"/>
        </w:rPr>
        <w:t xml:space="preserve">OS-17  ·  LAYER 2  ·  4 MODULES</w:t>
      </w:r>
    </w:p>
    <w:p>
      <w:pPr>
        <w:pStyle w:val="Heading2"/>
        <w:spacing w:after="100" w:before="240"/>
      </w:pPr>
      <w:r>
        <w:rPr>
          <w:rFonts w:ascii="Helvetica Neue" w:cs="Helvetica Neue" w:eastAsia="Helvetica Neue" w:hAnsi="Helvetica Neue"/>
          <w:b/>
          <w:bCs/>
          <w:color w:val="1A1A1A"/>
          <w:sz w:val="32"/>
          <w:szCs w:val="32"/>
        </w:rPr>
        <w:t xml:space="preserve">Autonomous Governance</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The platform's own conscience. Catches what humans miss; routes it back to humans for decision. The operating system is the architectural realization of the principle that governance discipline must itself be governed — meta-governance is non-optional in a system whose outputs reach boards.</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EvidenceGatekeeper</w:t>
      </w:r>
    </w:p>
    <w:p>
      <w:pPr>
        <w:keepNext/>
        <w:spacing w:after="80" w:before="0" w:line="280"/>
      </w:pPr>
      <w:r>
        <w:rPr>
          <w:rFonts w:ascii="Garamond" w:cs="Garamond" w:eastAsia="Garamond" w:hAnsi="Garamond"/>
          <w:i/>
          <w:iCs/>
          <w:color w:val="1A1A1A"/>
          <w:sz w:val="22"/>
          <w:szCs w:val="22"/>
        </w:rPr>
        <w:t xml:space="preserve">Runtime enforcement of publication law at the War Room tile boundary.</w:t>
      </w:r>
    </w:p>
    <w:p>
      <w:pPr>
        <w:spacing w:after="80" w:before="60" w:line="300"/>
        <w:jc w:val="both"/>
      </w:pPr>
      <w:r>
        <w:rPr>
          <w:rFonts w:ascii="Garamond" w:cs="Garamond" w:eastAsia="Garamond" w:hAnsi="Garamond"/>
          <w:color w:val="1A1A1A"/>
          <w:sz w:val="22"/>
          <w:szCs w:val="22"/>
        </w:rPr>
        <w:t xml:space="preserve">Before any number renders to a War Room tile, the Gatekeeper confirms: evidence present, evidence fresh, transform verified, policy passed, confidence tier set. Fails closed. No exceptions, ever. The Gatekeeper is the platform's architectural commitment that the Four Hard Rules are not a UX guideline but a runtime invariant.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AutoExceptionLogger</w:t>
      </w:r>
    </w:p>
    <w:p>
      <w:pPr>
        <w:keepNext/>
        <w:spacing w:after="80" w:before="0" w:line="280"/>
      </w:pPr>
      <w:r>
        <w:rPr>
          <w:rFonts w:ascii="Garamond" w:cs="Garamond" w:eastAsia="Garamond" w:hAnsi="Garamond"/>
          <w:i/>
          <w:iCs/>
          <w:color w:val="1A1A1A"/>
          <w:sz w:val="22"/>
          <w:szCs w:val="22"/>
        </w:rPr>
        <w:t xml:space="preserve">Automatic capture of every governance breach as a tracked exception.</w:t>
      </w:r>
    </w:p>
    <w:p>
      <w:pPr>
        <w:spacing w:after="80" w:before="60" w:line="300"/>
        <w:jc w:val="both"/>
      </w:pPr>
      <w:r>
        <w:rPr>
          <w:rFonts w:ascii="Garamond" w:cs="Garamond" w:eastAsia="Garamond" w:hAnsi="Garamond"/>
          <w:color w:val="1A1A1A"/>
          <w:sz w:val="22"/>
          <w:szCs w:val="22"/>
        </w:rPr>
        <w:t xml:space="preserve">When the Gatekeeper blocks a render, when an override fires, when a SLA slips — captured, classified, ticketed automatically. The exception log is itself evidence of governance discipline. Patterns in the exception log are diagnostic: a sudden spike in overrides indicates either a quality regression or a process bypass, and either case is actionable.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GovernanceDriftMonitor</w:t>
      </w:r>
    </w:p>
    <w:p>
      <w:pPr>
        <w:keepNext/>
        <w:spacing w:after="80" w:before="0" w:line="280"/>
      </w:pPr>
      <w:r>
        <w:rPr>
          <w:rFonts w:ascii="Garamond" w:cs="Garamond" w:eastAsia="Garamond" w:hAnsi="Garamond"/>
          <w:i/>
          <w:iCs/>
          <w:color w:val="1A1A1A"/>
          <w:sz w:val="22"/>
          <w:szCs w:val="22"/>
        </w:rPr>
        <w:t xml:space="preserve">Surveillance of the governance system's own behavior over time.</w:t>
      </w:r>
    </w:p>
    <w:p>
      <w:pPr>
        <w:spacing w:after="80" w:before="60" w:line="300"/>
        <w:jc w:val="both"/>
      </w:pPr>
      <w:r>
        <w:rPr>
          <w:rFonts w:ascii="Garamond" w:cs="Garamond" w:eastAsia="Garamond" w:hAnsi="Garamond"/>
          <w:color w:val="1A1A1A"/>
          <w:sz w:val="22"/>
          <w:szCs w:val="22"/>
        </w:rPr>
        <w:t xml:space="preserve">Detects when too many overrides are firing, when reviewer approval times are growing, when evidence freshness is degrading across the platform. The platform watches its own discipline and surfaces slippage. The monitor is the structural answer to the chronic failure mode in which governance erodes incrementally and invisibly until it is suddenly absent.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DecisionQualityScoring</w:t>
      </w:r>
    </w:p>
    <w:p>
      <w:pPr>
        <w:keepNext/>
        <w:spacing w:after="80" w:before="0" w:line="280"/>
      </w:pPr>
      <w:r>
        <w:rPr>
          <w:rFonts w:ascii="Garamond" w:cs="Garamond" w:eastAsia="Garamond" w:hAnsi="Garamond"/>
          <w:i/>
          <w:iCs/>
          <w:color w:val="1A1A1A"/>
          <w:sz w:val="22"/>
          <w:szCs w:val="22"/>
        </w:rPr>
        <w:t xml:space="preserve">Outcome tracking on past decisions, feeding back into confidence calibration.</w:t>
      </w:r>
    </w:p>
    <w:p>
      <w:pPr>
        <w:spacing w:after="80" w:before="60" w:line="300"/>
        <w:jc w:val="both"/>
      </w:pPr>
      <w:r>
        <w:rPr>
          <w:rFonts w:ascii="Garamond" w:cs="Garamond" w:eastAsia="Garamond" w:hAnsi="Garamond"/>
          <w:color w:val="1A1A1A"/>
          <w:sz w:val="22"/>
          <w:szCs w:val="22"/>
        </w:rPr>
        <w:t xml:space="preserve">When an Initiative completes, did the realized recovery match the forecast? When a stop-loss attachment was raised, did the catastrophic-claim curve validate the call? The platform measures its own quality of judgment over time and the confidence-scoring engine recalibrates accordingly. The architectural commitment is that the platform's confidence calibration is itself empirically grounded, not asserted.</w:t>
      </w:r>
    </w:p>
    <w:p>
      <w:r>
        <w:br w:type="page"/>
      </w:r>
    </w:p>
    <w:p>
      <w:pPr>
        <w:spacing w:after="1600" w:before="1600"/>
      </w:pPr>
      <w:r>
        <w:t xml:space="preserve"/>
      </w:r>
    </w:p>
    <w:p>
      <w:pPr>
        <w:spacing w:after="60" w:before="80"/>
        <w:jc w:val="left"/>
      </w:pPr>
      <w:r>
        <w:rPr>
          <w:rFonts w:ascii="Consolas" w:cs="Consolas" w:eastAsia="Consolas" w:hAnsi="Consolas"/>
          <w:b w:val="false"/>
          <w:bCs w:val="false"/>
          <w:color w:val="B8893F"/>
          <w:spacing w:val="60"/>
          <w:sz w:val="16"/>
          <w:szCs w:val="16"/>
        </w:rPr>
        <w:t xml:space="preserve">LAYER III  ·  OS-18 → OS-22  ·  25 MODULES</w:t>
      </w:r>
    </w:p>
    <w:p>
      <w:pPr>
        <w:spacing w:after="120" w:before="120"/>
      </w:pPr>
      <w:r>
        <w:t xml:space="preserve"/>
      </w:r>
    </w:p>
    <w:p>
      <w:pPr>
        <w:pStyle w:val="Heading1"/>
        <w:spacing w:after="160" w:before="320"/>
      </w:pPr>
      <w:r>
        <w:rPr>
          <w:rFonts w:ascii="Helvetica Neue" w:cs="Helvetica Neue" w:eastAsia="Helvetica Neue" w:hAnsi="Helvetica Neue"/>
          <w:b/>
          <w:bCs/>
          <w:color w:val="1A1A1A"/>
          <w:sz w:val="44"/>
          <w:szCs w:val="44"/>
        </w:rPr>
        <w:t xml:space="preserve">Layer III</w:t>
      </w:r>
    </w:p>
    <w:p>
      <w:pPr>
        <w:spacing w:after="240" w:before="80"/>
      </w:pPr>
      <w:r>
        <w:rPr>
          <w:rFonts w:ascii="Helvetica Neue" w:cs="Helvetica Neue" w:eastAsia="Helvetica Neue" w:hAnsi="Helvetica Neue"/>
          <w:b/>
          <w:bCs/>
          <w:i/>
          <w:iCs/>
          <w:color w:val="B8893F"/>
          <w:sz w:val="72"/>
          <w:szCs w:val="72"/>
        </w:rPr>
        <w:t xml:space="preserve">Fiduciary Control Plane</w:t>
      </w:r>
    </w:p>
    <w:p>
      <w:pPr>
        <w:pBdr>
          <w:bottom w:val="single" w:color="B8893F" w:sz="6" w:space="1"/>
        </w:pBdr>
        <w:spacing w:after="80" w:before="80"/>
      </w:pPr>
      <w:r>
        <w:t xml:space="preserve"/>
      </w:r>
    </w:p>
    <w:p>
      <w:pPr>
        <w:spacing w:after="160" w:before="160"/>
      </w:pPr>
      <w:r>
        <w:t xml:space="preserve"/>
      </w:r>
    </w:p>
    <w:p>
      <w:pPr>
        <w:spacing w:after="120" w:before="80" w:line="320"/>
        <w:jc w:val="left"/>
      </w:pPr>
      <w:r>
        <w:rPr>
          <w:rFonts w:ascii="Garamond" w:cs="Garamond" w:eastAsia="Garamond" w:hAnsi="Garamond"/>
          <w:i/>
          <w:iCs/>
          <w:color w:val="1A1A1A"/>
          <w:sz w:val="22"/>
          <w:szCs w:val="22"/>
        </w:rPr>
        <w:t xml:space="preserve">Cryptographic proof, federated benchmark, policy-as-code, remediation automation. The mathematical end of trust.</w:t>
      </w:r>
    </w:p>
    <w:p>
      <w:r>
        <w:br w:type="page"/>
      </w:r>
    </w:p>
    <w:p>
      <w:pPr>
        <w:spacing w:after="60" w:before="80"/>
        <w:jc w:val="left"/>
      </w:pPr>
      <w:r>
        <w:rPr>
          <w:rFonts w:ascii="Consolas" w:cs="Consolas" w:eastAsia="Consolas" w:hAnsi="Consolas"/>
          <w:b w:val="false"/>
          <w:bCs w:val="false"/>
          <w:color w:val="B8893F"/>
          <w:spacing w:val="60"/>
          <w:sz w:val="14"/>
          <w:szCs w:val="14"/>
        </w:rPr>
        <w:t xml:space="preserve">OS-18  ·  LAYER 3  ·  5 MODULES</w:t>
      </w:r>
    </w:p>
    <w:p>
      <w:pPr>
        <w:pStyle w:val="Heading2"/>
        <w:spacing w:after="100" w:before="240"/>
      </w:pPr>
      <w:r>
        <w:rPr>
          <w:rFonts w:ascii="Helvetica Neue" w:cs="Helvetica Neue" w:eastAsia="Helvetica Neue" w:hAnsi="Helvetica Neue"/>
          <w:b/>
          <w:bCs/>
          <w:color w:val="1A1A1A"/>
          <w:sz w:val="32"/>
          <w:szCs w:val="32"/>
        </w:rPr>
        <w:t xml:space="preserve">Proof &amp; Attestation</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Cryptographic, independently verifiable. The mathematical end of trust. The operating system is the architectural commitment that the platform's outputs do not require trusting the platform — they require only checking the math.</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ProofManifestGenerator</w:t>
      </w:r>
    </w:p>
    <w:p>
      <w:pPr>
        <w:keepNext/>
        <w:spacing w:after="80" w:before="0" w:line="280"/>
      </w:pPr>
      <w:r>
        <w:rPr>
          <w:rFonts w:ascii="Garamond" w:cs="Garamond" w:eastAsia="Garamond" w:hAnsi="Garamond"/>
          <w:i/>
          <w:iCs/>
          <w:color w:val="1A1A1A"/>
          <w:sz w:val="22"/>
          <w:szCs w:val="22"/>
        </w:rPr>
        <w:t xml:space="preserve">Signed manifest per published computation enabling third-party reverification.</w:t>
      </w:r>
    </w:p>
    <w:p>
      <w:pPr>
        <w:spacing w:after="80" w:before="60" w:line="300"/>
        <w:jc w:val="both"/>
      </w:pPr>
      <w:r>
        <w:rPr>
          <w:rFonts w:ascii="Garamond" w:cs="Garamond" w:eastAsia="Garamond" w:hAnsi="Garamond"/>
          <w:color w:val="1A1A1A"/>
          <w:sz w:val="22"/>
          <w:szCs w:val="22"/>
        </w:rPr>
        <w:t xml:space="preserve">Per claim, the manifest records artifact hashes, transform identifiers and versions, configuration version, build identifier, and signing-key identifier. A third-party auditor with the manifest and access to the source-controlled transform code can rebuild the claim and verify byte-identical output. The manifest is the artifact that makes the platform's reproducibility claims independently testable.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AttestationSigner</w:t>
      </w:r>
    </w:p>
    <w:p>
      <w:pPr>
        <w:keepNext/>
        <w:spacing w:after="80" w:before="0" w:line="280"/>
      </w:pPr>
      <w:r>
        <w:rPr>
          <w:rFonts w:ascii="Garamond" w:cs="Garamond" w:eastAsia="Garamond" w:hAnsi="Garamond"/>
          <w:i/>
          <w:iCs/>
          <w:color w:val="1A1A1A"/>
          <w:sz w:val="22"/>
          <w:szCs w:val="22"/>
        </w:rPr>
        <w:t xml:space="preserve">Ed25519 cryptographic signatures binding manifests to the issuing tenant and platform version.</w:t>
      </w:r>
    </w:p>
    <w:p>
      <w:pPr>
        <w:spacing w:after="80" w:before="60" w:line="300"/>
        <w:jc w:val="both"/>
      </w:pPr>
      <w:r>
        <w:rPr>
          <w:rFonts w:ascii="Garamond" w:cs="Garamond" w:eastAsia="Garamond" w:hAnsi="Garamond"/>
          <w:color w:val="1A1A1A"/>
          <w:sz w:val="22"/>
          <w:szCs w:val="22"/>
        </w:rPr>
        <w:t xml:space="preserve">Signatures are computed over the manifest content; tampering with any element of the manifest breaks the signature. The breakage is mathematically provable. Trust degenerates from a social property into a verifiable mathematical fact, which is the architectural shift the entire OS-18 stack effects.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ProofVerificationAPI</w:t>
      </w:r>
    </w:p>
    <w:p>
      <w:pPr>
        <w:keepNext/>
        <w:spacing w:after="80" w:before="0" w:line="280"/>
      </w:pPr>
      <w:r>
        <w:rPr>
          <w:rFonts w:ascii="Garamond" w:cs="Garamond" w:eastAsia="Garamond" w:hAnsi="Garamond"/>
          <w:i/>
          <w:iCs/>
          <w:color w:val="1A1A1A"/>
          <w:sz w:val="22"/>
          <w:szCs w:val="22"/>
        </w:rPr>
        <w:t xml:space="preserve">Public reverification endpoint for auditors, counsel, and regulators.</w:t>
      </w:r>
    </w:p>
    <w:p>
      <w:pPr>
        <w:spacing w:after="80" w:before="60" w:line="300"/>
        <w:jc w:val="both"/>
      </w:pPr>
      <w:r>
        <w:rPr>
          <w:rFonts w:ascii="Garamond" w:cs="Garamond" w:eastAsia="Garamond" w:hAnsi="Garamond"/>
          <w:color w:val="1A1A1A"/>
          <w:sz w:val="22"/>
          <w:szCs w:val="22"/>
        </w:rPr>
        <w:t xml:space="preserve">Submit a manifest plus a claimed value; receive verified or unverified plus the discrepancy if any. Trust becomes mechanical. The endpoint is what allows a regulator to verify a customer's published claim without requiring privileged access to the platform or to the customer's data.</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HashChainLedger</w:t>
      </w:r>
    </w:p>
    <w:p>
      <w:pPr>
        <w:keepNext/>
        <w:spacing w:after="80" w:before="0" w:line="280"/>
      </w:pPr>
      <w:r>
        <w:rPr>
          <w:rFonts w:ascii="Garamond" w:cs="Garamond" w:eastAsia="Garamond" w:hAnsi="Garamond"/>
          <w:i/>
          <w:iCs/>
          <w:color w:val="1A1A1A"/>
          <w:sz w:val="22"/>
          <w:szCs w:val="22"/>
        </w:rPr>
        <w:t xml:space="preserve">Append-only ledger of every published claim with cryptographic linkage.</w:t>
      </w:r>
    </w:p>
    <w:p>
      <w:pPr>
        <w:spacing w:after="80" w:before="60" w:line="300"/>
        <w:jc w:val="both"/>
      </w:pPr>
      <w:r>
        <w:rPr>
          <w:rFonts w:ascii="Garamond" w:cs="Garamond" w:eastAsia="Garamond" w:hAnsi="Garamond"/>
          <w:color w:val="1A1A1A"/>
          <w:sz w:val="22"/>
          <w:szCs w:val="22"/>
        </w:rPr>
        <w:t xml:space="preserve">ledger_hash_n = SHA256(prev_hash || input || result). Each link binds to its predecessor; retroactive insertion is mathematically impossible. The hash chain is the platform's public memory — and its commitment that history, once written, is not rewritable.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AttestationDashboard</w:t>
      </w:r>
    </w:p>
    <w:p>
      <w:pPr>
        <w:keepNext/>
        <w:spacing w:after="80" w:before="0" w:line="280"/>
      </w:pPr>
      <w:r>
        <w:rPr>
          <w:rFonts w:ascii="Garamond" w:cs="Garamond" w:eastAsia="Garamond" w:hAnsi="Garamond"/>
          <w:i/>
          <w:iCs/>
          <w:color w:val="1A1A1A"/>
          <w:sz w:val="22"/>
          <w:szCs w:val="22"/>
        </w:rPr>
        <w:t xml:space="preserve">Customer-facing verification surface presenting manifest access to every published number.</w:t>
      </w:r>
    </w:p>
    <w:p>
      <w:pPr>
        <w:spacing w:after="80" w:before="60" w:line="300"/>
        <w:jc w:val="both"/>
      </w:pPr>
      <w:r>
        <w:rPr>
          <w:rFonts w:ascii="Garamond" w:cs="Garamond" w:eastAsia="Garamond" w:hAnsi="Garamond"/>
          <w:color w:val="1A1A1A"/>
          <w:sz w:val="22"/>
          <w:szCs w:val="22"/>
        </w:rPr>
        <w:t xml:space="preserve">For every number a customer sees, a 'verify' affordance opens the manifest, displays the receipt, and links to the independent verification endpoint. Trust externalized; epistemics inverted. The customer does not trust the platform because the platform is well-marketed; the customer trusts the platform because the customer can verify the platform's claims at will.</w:t>
      </w:r>
    </w:p>
    <w:p>
      <w:r>
        <w:br w:type="page"/>
      </w:r>
    </w:p>
    <w:p>
      <w:pPr>
        <w:spacing w:after="60" w:before="80"/>
        <w:jc w:val="left"/>
      </w:pPr>
      <w:r>
        <w:rPr>
          <w:rFonts w:ascii="Consolas" w:cs="Consolas" w:eastAsia="Consolas" w:hAnsi="Consolas"/>
          <w:b w:val="false"/>
          <w:bCs w:val="false"/>
          <w:color w:val="B8893F"/>
          <w:spacing w:val="60"/>
          <w:sz w:val="14"/>
          <w:szCs w:val="14"/>
        </w:rPr>
        <w:t xml:space="preserve">OS-19  ·  LAYER 3  ·  5 MODULES</w:t>
      </w:r>
    </w:p>
    <w:p>
      <w:pPr>
        <w:pStyle w:val="Heading2"/>
        <w:spacing w:after="100" w:before="240"/>
      </w:pPr>
      <w:r>
        <w:rPr>
          <w:rFonts w:ascii="Helvetica Neue" w:cs="Helvetica Neue" w:eastAsia="Helvetica Neue" w:hAnsi="Helvetica Neue"/>
          <w:b/>
          <w:bCs/>
          <w:color w:val="1A1A1A"/>
          <w:sz w:val="32"/>
          <w:szCs w:val="32"/>
        </w:rPr>
        <w:t xml:space="preserve">Federated Benchmark</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Network-grade benchmarking without centralization. Privacy-preserving by construction, not by policy. The operating system implements the architectural principle that pooled intelligence and pooled raw data are not the same thing — and the first does not require the second.</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FederatedAggregator</w:t>
      </w:r>
    </w:p>
    <w:p>
      <w:pPr>
        <w:keepNext/>
        <w:spacing w:after="80" w:before="0" w:line="280"/>
      </w:pPr>
      <w:r>
        <w:rPr>
          <w:rFonts w:ascii="Garamond" w:cs="Garamond" w:eastAsia="Garamond" w:hAnsi="Garamond"/>
          <w:i/>
          <w:iCs/>
          <w:color w:val="1A1A1A"/>
          <w:sz w:val="22"/>
          <w:szCs w:val="22"/>
        </w:rPr>
        <w:t xml:space="preserve">Multi-tenant statistic aggregation without raw-data centralization.</w:t>
      </w:r>
    </w:p>
    <w:p>
      <w:pPr>
        <w:spacing w:after="80" w:before="60" w:line="300"/>
        <w:jc w:val="both"/>
      </w:pPr>
      <w:r>
        <w:rPr>
          <w:rFonts w:ascii="Garamond" w:cs="Garamond" w:eastAsia="Garamond" w:hAnsi="Garamond"/>
          <w:color w:val="1A1A1A"/>
          <w:sz w:val="22"/>
          <w:szCs w:val="22"/>
        </w:rPr>
        <w:t xml:space="preserve">Per-tenant statistics computed locally inside the tenant boundary; aggregated at the network layer under k-anonymity minima and calibrated noise. No tenant's raw claims, eligibility, or contracts ever cross the tenant boundary. The aggregator is the realization of the principle that the platform can know cohort distributions without knowing — or even being capable of revealing — individual member values.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PrivacyBudgetTracker</w:t>
      </w:r>
    </w:p>
    <w:p>
      <w:pPr>
        <w:keepNext/>
        <w:spacing w:after="80" w:before="0" w:line="280"/>
      </w:pPr>
      <w:r>
        <w:rPr>
          <w:rFonts w:ascii="Garamond" w:cs="Garamond" w:eastAsia="Garamond" w:hAnsi="Garamond"/>
          <w:i/>
          <w:iCs/>
          <w:color w:val="1A1A1A"/>
          <w:sz w:val="22"/>
          <w:szCs w:val="22"/>
        </w:rPr>
        <w:t xml:space="preserve">Differential-privacy accounting at cohort granularity.</w:t>
      </w:r>
    </w:p>
    <w:p>
      <w:pPr>
        <w:spacing w:after="80" w:before="60" w:line="300"/>
        <w:jc w:val="both"/>
      </w:pPr>
      <w:r>
        <w:rPr>
          <w:rFonts w:ascii="Garamond" w:cs="Garamond" w:eastAsia="Garamond" w:hAnsi="Garamond"/>
          <w:color w:val="1A1A1A"/>
          <w:sz w:val="22"/>
          <w:szCs w:val="22"/>
        </w:rPr>
        <w:t xml:space="preserve">Every published benchmark consumes a portion of a tracked privacy budget; budgets are per-cohort to prevent re-identification through repeated querying. Honest privacy, not theatrical privacy. The budget-tracking architecture is what distinguishes a platform that genuinely preserves privacy from one that merely claims to.</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CohortDefinitionRegistry</w:t>
      </w:r>
    </w:p>
    <w:p>
      <w:pPr>
        <w:keepNext/>
        <w:spacing w:after="80" w:before="0" w:line="280"/>
      </w:pPr>
      <w:r>
        <w:rPr>
          <w:rFonts w:ascii="Garamond" w:cs="Garamond" w:eastAsia="Garamond" w:hAnsi="Garamond"/>
          <w:i/>
          <w:iCs/>
          <w:color w:val="1A1A1A"/>
          <w:sz w:val="22"/>
          <w:szCs w:val="22"/>
        </w:rPr>
        <w:t xml:space="preserve">Versioned, reusable definitions of comparable peer groups.</w:t>
      </w:r>
    </w:p>
    <w:p>
      <w:pPr>
        <w:spacing w:after="80" w:before="60" w:line="300"/>
        <w:jc w:val="both"/>
      </w:pPr>
      <w:r>
        <w:rPr>
          <w:rFonts w:ascii="Garamond" w:cs="Garamond" w:eastAsia="Garamond" w:hAnsi="Garamond"/>
          <w:color w:val="1A1A1A"/>
          <w:sz w:val="22"/>
          <w:szCs w:val="22"/>
        </w:rPr>
        <w:t xml:space="preserve">Industry × size × geography × funding type. Cohorts are defined once, versioned, and reused — so the median PEPM a customer sees today is comparable to the median PEPM they saw a quarter ago. Cohort drift is detectable and explicit, not silent.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BenchmarkPublisher</w:t>
      </w:r>
    </w:p>
    <w:p>
      <w:pPr>
        <w:keepNext/>
        <w:spacing w:after="80" w:before="0" w:line="280"/>
      </w:pPr>
      <w:r>
        <w:rPr>
          <w:rFonts w:ascii="Garamond" w:cs="Garamond" w:eastAsia="Garamond" w:hAnsi="Garamond"/>
          <w:i/>
          <w:iCs/>
          <w:color w:val="1A1A1A"/>
          <w:sz w:val="22"/>
          <w:szCs w:val="22"/>
        </w:rPr>
        <w:t xml:space="preserve">Cohort-statistic distribution to customer surfaces on a managed cadence.</w:t>
      </w:r>
    </w:p>
    <w:p>
      <w:pPr>
        <w:spacing w:after="80" w:before="60" w:line="300"/>
        <w:jc w:val="both"/>
      </w:pPr>
      <w:r>
        <w:rPr>
          <w:rFonts w:ascii="Garamond" w:cs="Garamond" w:eastAsia="Garamond" w:hAnsi="Garamond"/>
          <w:color w:val="1A1A1A"/>
          <w:sz w:val="22"/>
          <w:szCs w:val="22"/>
        </w:rPr>
        <w:t xml:space="preserve">Pushes updated quartile, decile, and median statistics to customer dashboards with full transparency about cohort size, freshness, and confidence. The customer always knows not just where they sit but how robust the benchmark itself is — a property absent from most benchmarking products.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ParticipationGovernance</w:t>
      </w:r>
    </w:p>
    <w:p>
      <w:pPr>
        <w:keepNext/>
        <w:spacing w:after="80" w:before="0" w:line="280"/>
      </w:pPr>
      <w:r>
        <w:rPr>
          <w:rFonts w:ascii="Garamond" w:cs="Garamond" w:eastAsia="Garamond" w:hAnsi="Garamond"/>
          <w:i/>
          <w:iCs/>
          <w:color w:val="1A1A1A"/>
          <w:sz w:val="22"/>
          <w:szCs w:val="22"/>
        </w:rPr>
        <w:t xml:space="preserve">Opt-in network participation under customer control.</w:t>
      </w:r>
    </w:p>
    <w:p>
      <w:pPr>
        <w:spacing w:after="80" w:before="60" w:line="300"/>
        <w:jc w:val="both"/>
      </w:pPr>
      <w:r>
        <w:rPr>
          <w:rFonts w:ascii="Garamond" w:cs="Garamond" w:eastAsia="Garamond" w:hAnsi="Garamond"/>
          <w:color w:val="1A1A1A"/>
          <w:sz w:val="22"/>
          <w:szCs w:val="22"/>
        </w:rPr>
        <w:t xml:space="preserve">Customers choose whether their anonymized statistics contribute to network benchmarks. Participation is opt-in by tenant decision; never assumed; revocable at any time. The governance posture is the architectural commitment that the network's intelligence belongs to its members, not to the platform.</w:t>
      </w:r>
    </w:p>
    <w:p>
      <w:r>
        <w:br w:type="page"/>
      </w:r>
    </w:p>
    <w:p>
      <w:pPr>
        <w:spacing w:after="60" w:before="80"/>
        <w:jc w:val="left"/>
      </w:pPr>
      <w:r>
        <w:rPr>
          <w:rFonts w:ascii="Consolas" w:cs="Consolas" w:eastAsia="Consolas" w:hAnsi="Consolas"/>
          <w:b w:val="false"/>
          <w:bCs w:val="false"/>
          <w:color w:val="B8893F"/>
          <w:spacing w:val="60"/>
          <w:sz w:val="14"/>
          <w:szCs w:val="14"/>
        </w:rPr>
        <w:t xml:space="preserve">OS-20  ·  LAYER 3  ·  5 MODULES</w:t>
      </w:r>
    </w:p>
    <w:p>
      <w:pPr>
        <w:pStyle w:val="Heading2"/>
        <w:spacing w:after="100" w:before="240"/>
      </w:pPr>
      <w:r>
        <w:rPr>
          <w:rFonts w:ascii="Helvetica Neue" w:cs="Helvetica Neue" w:eastAsia="Helvetica Neue" w:hAnsi="Helvetica Neue"/>
          <w:b/>
          <w:bCs/>
          <w:color w:val="1A1A1A"/>
          <w:sz w:val="32"/>
          <w:szCs w:val="32"/>
        </w:rPr>
        <w:t xml:space="preserve">Policy-as-Code</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Governance lives in source control. Rules are versioned, testable, reviewable, enforceable. The operating system imports the engineering discipline of infrastructure-as-code and applies it to fiduciary governance — with the consequence that governance becomes a testable, auditable, code-reviewable property of the platform.</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PolicyDSLv1</w:t>
      </w:r>
    </w:p>
    <w:p>
      <w:pPr>
        <w:keepNext/>
        <w:spacing w:after="80" w:before="0" w:line="280"/>
      </w:pPr>
      <w:r>
        <w:rPr>
          <w:rFonts w:ascii="Garamond" w:cs="Garamond" w:eastAsia="Garamond" w:hAnsi="Garamond"/>
          <w:i/>
          <w:iCs/>
          <w:color w:val="1A1A1A"/>
          <w:sz w:val="22"/>
          <w:szCs w:val="22"/>
        </w:rPr>
        <w:t xml:space="preserve">Domain-specific language for declarative governance rule specification.</w:t>
      </w:r>
    </w:p>
    <w:p>
      <w:pPr>
        <w:spacing w:after="80" w:before="60" w:line="300"/>
        <w:jc w:val="both"/>
      </w:pPr>
      <w:r>
        <w:rPr>
          <w:rFonts w:ascii="Garamond" w:cs="Garamond" w:eastAsia="Garamond" w:hAnsi="Garamond"/>
          <w:color w:val="1A1A1A"/>
          <w:sz w:val="22"/>
          <w:szCs w:val="22"/>
        </w:rPr>
        <w:t xml:space="preserve">Declarative syntax: freshness_max_hours: 72; min_evidence: 3; cohort_min: 30. Policies compile at deployment and are enforced at runtime by OS-01's PolicyControlsEngine. The policy is the code; the code is the policy. The DSL is the architectural decision that governance rules should be readable by counsel, executable by the runtime, and version-controllable by engineering.</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PolicyRegistry</w:t>
      </w:r>
    </w:p>
    <w:p>
      <w:pPr>
        <w:keepNext/>
        <w:spacing w:after="80" w:before="0" w:line="280"/>
      </w:pPr>
      <w:r>
        <w:rPr>
          <w:rFonts w:ascii="Garamond" w:cs="Garamond" w:eastAsia="Garamond" w:hAnsi="Garamond"/>
          <w:i/>
          <w:iCs/>
          <w:color w:val="1A1A1A"/>
          <w:sz w:val="22"/>
          <w:szCs w:val="22"/>
        </w:rPr>
        <w:t xml:space="preserve">Versioned catalog of every active policy with full lineage.</w:t>
      </w:r>
    </w:p>
    <w:p>
      <w:pPr>
        <w:spacing w:after="80" w:before="60" w:line="300"/>
        <w:jc w:val="both"/>
      </w:pPr>
      <w:r>
        <w:rPr>
          <w:rFonts w:ascii="Garamond" w:cs="Garamond" w:eastAsia="Garamond" w:hAnsi="Garamond"/>
          <w:color w:val="1A1A1A"/>
          <w:sz w:val="22"/>
          <w:szCs w:val="22"/>
        </w:rPr>
        <w:t xml:space="preserve">Each policy carries (id, version, scope — global / tenant / case, parameters, owner, effective date, supersedes). Policies follow semantic versioning; a policy change is a pull request with reviewers. The registry is the architectural realization of governance accountability.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PolicyTestHarness</w:t>
      </w:r>
    </w:p>
    <w:p>
      <w:pPr>
        <w:keepNext/>
        <w:spacing w:after="80" w:before="0" w:line="280"/>
      </w:pPr>
      <w:r>
        <w:rPr>
          <w:rFonts w:ascii="Garamond" w:cs="Garamond" w:eastAsia="Garamond" w:hAnsi="Garamond"/>
          <w:i/>
          <w:iCs/>
          <w:color w:val="1A1A1A"/>
          <w:sz w:val="22"/>
          <w:szCs w:val="22"/>
        </w:rPr>
        <w:t xml:space="preserve">Unit and integration testing of governance rules against the KPI regression suite.</w:t>
      </w:r>
    </w:p>
    <w:p>
      <w:pPr>
        <w:spacing w:after="80" w:before="60" w:line="300"/>
        <w:jc w:val="both"/>
      </w:pPr>
      <w:r>
        <w:rPr>
          <w:rFonts w:ascii="Garamond" w:cs="Garamond" w:eastAsia="Garamond" w:hAnsi="Garamond"/>
          <w:color w:val="1A1A1A"/>
          <w:sz w:val="22"/>
          <w:szCs w:val="22"/>
        </w:rPr>
        <w:t xml:space="preserve">Before a policy goes live, the harness validates it against the regression-test corpus. A policy that would break a published KPI cannot deploy without explicit acknowledgment of the impact. The harness is what prevents the failure mode in which a well-intentioned governance tightening silently breaks customer reports.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PolicyAuditTrail</w:t>
      </w:r>
    </w:p>
    <w:p>
      <w:pPr>
        <w:keepNext/>
        <w:spacing w:after="80" w:before="0" w:line="280"/>
      </w:pPr>
      <w:r>
        <w:rPr>
          <w:rFonts w:ascii="Garamond" w:cs="Garamond" w:eastAsia="Garamond" w:hAnsi="Garamond"/>
          <w:i/>
          <w:iCs/>
          <w:color w:val="1A1A1A"/>
          <w:sz w:val="22"/>
          <w:szCs w:val="22"/>
        </w:rPr>
        <w:t xml:space="preserve">Per-evaluation logging of every policy invocation.</w:t>
      </w:r>
    </w:p>
    <w:p>
      <w:pPr>
        <w:spacing w:after="80" w:before="60" w:line="300"/>
        <w:jc w:val="both"/>
      </w:pPr>
      <w:r>
        <w:rPr>
          <w:rFonts w:ascii="Garamond" w:cs="Garamond" w:eastAsia="Garamond" w:hAnsi="Garamond"/>
          <w:color w:val="1A1A1A"/>
          <w:sz w:val="22"/>
          <w:szCs w:val="22"/>
        </w:rPr>
        <w:t xml:space="preserve">Logged: (policy_id, version, input, result, timestamp). Auditors can answer 'what policy was in force when this number published, and what did it return?' with a one-row query. The audit trail is the artifact regulators ask for; the platform makes producing it trivial.</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PolicyAuthoringConsole</w:t>
      </w:r>
    </w:p>
    <w:p>
      <w:pPr>
        <w:keepNext/>
        <w:spacing w:after="80" w:before="0" w:line="280"/>
      </w:pPr>
      <w:r>
        <w:rPr>
          <w:rFonts w:ascii="Garamond" w:cs="Garamond" w:eastAsia="Garamond" w:hAnsi="Garamond"/>
          <w:i/>
          <w:iCs/>
          <w:color w:val="1A1A1A"/>
          <w:sz w:val="22"/>
          <w:szCs w:val="22"/>
        </w:rPr>
        <w:t xml:space="preserve">Reviewer-grade UI for policy drafting, diffing, simulation, and approval.</w:t>
      </w:r>
    </w:p>
    <w:p>
      <w:pPr>
        <w:spacing w:after="80" w:before="60" w:line="300"/>
        <w:jc w:val="both"/>
      </w:pPr>
      <w:r>
        <w:rPr>
          <w:rFonts w:ascii="Garamond" w:cs="Garamond" w:eastAsia="Garamond" w:hAnsi="Garamond"/>
          <w:color w:val="1A1A1A"/>
          <w:sz w:val="22"/>
          <w:szCs w:val="22"/>
        </w:rPr>
        <w:t xml:space="preserve">Policy authors do not edit YAML in isolation; they author through a console that previews the impact of proposed changes across the platform's KPI corpus. The console is what makes policy authorship a structured collaboration between counsel, governance, and engineering rather than a unilateral engineering decision.</w:t>
      </w:r>
    </w:p>
    <w:p>
      <w:r>
        <w:br w:type="page"/>
      </w:r>
    </w:p>
    <w:p>
      <w:pPr>
        <w:spacing w:after="60" w:before="80"/>
        <w:jc w:val="left"/>
      </w:pPr>
      <w:r>
        <w:rPr>
          <w:rFonts w:ascii="Consolas" w:cs="Consolas" w:eastAsia="Consolas" w:hAnsi="Consolas"/>
          <w:b w:val="false"/>
          <w:bCs w:val="false"/>
          <w:color w:val="B8893F"/>
          <w:spacing w:val="60"/>
          <w:sz w:val="14"/>
          <w:szCs w:val="14"/>
        </w:rPr>
        <w:t xml:space="preserve">OS-21  ·  LAYER 3  ·  5 MODULES</w:t>
      </w:r>
    </w:p>
    <w:p>
      <w:pPr>
        <w:pStyle w:val="Heading2"/>
        <w:spacing w:after="100" w:before="240"/>
      </w:pPr>
      <w:r>
        <w:rPr>
          <w:rFonts w:ascii="Helvetica Neue" w:cs="Helvetica Neue" w:eastAsia="Helvetica Neue" w:hAnsi="Helvetica Neue"/>
          <w:b/>
          <w:bCs/>
          <w:color w:val="1A1A1A"/>
          <w:sz w:val="32"/>
          <w:szCs w:val="32"/>
        </w:rPr>
        <w:t xml:space="preserve">Ecosystem &amp; Developer Platform</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Kincaid IQ as substrate. The category leader is the platform on which others build. The operating system is the architectural commitment that the platform's long-term value compounds through ecosystem effects, not through feature-set expansion alone.</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PublicAPIContract</w:t>
      </w:r>
    </w:p>
    <w:p>
      <w:pPr>
        <w:keepNext/>
        <w:spacing w:after="80" w:before="0" w:line="280"/>
      </w:pPr>
      <w:r>
        <w:rPr>
          <w:rFonts w:ascii="Garamond" w:cs="Garamond" w:eastAsia="Garamond" w:hAnsi="Garamond"/>
          <w:i/>
          <w:iCs/>
          <w:color w:val="1A1A1A"/>
          <w:sz w:val="22"/>
          <w:szCs w:val="22"/>
        </w:rPr>
        <w:t xml:space="preserve">Versioned, documented external interface under semantic-versioning discipline.</w:t>
      </w:r>
    </w:p>
    <w:p>
      <w:pPr>
        <w:spacing w:after="80" w:before="60" w:line="300"/>
        <w:jc w:val="both"/>
      </w:pPr>
      <w:r>
        <w:rPr>
          <w:rFonts w:ascii="Garamond" w:cs="Garamond" w:eastAsia="Garamond" w:hAnsi="Garamond"/>
          <w:color w:val="1A1A1A"/>
          <w:sz w:val="22"/>
          <w:szCs w:val="22"/>
        </w:rPr>
        <w:t xml:space="preserve">REST and GraphQL endpoints documented via published OpenAPI and GraphQL schemas. Semantic versioning with deprecation windows and backward compatibility for n−1 minor versions. The contract is what makes the platform integratable; the discipline is what makes the contract reliable.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PartnerSDKs</w:t>
      </w:r>
    </w:p>
    <w:p>
      <w:pPr>
        <w:keepNext/>
        <w:spacing w:after="80" w:before="0" w:line="280"/>
      </w:pPr>
      <w:r>
        <w:rPr>
          <w:rFonts w:ascii="Garamond" w:cs="Garamond" w:eastAsia="Garamond" w:hAnsi="Garamond"/>
          <w:i/>
          <w:iCs/>
          <w:color w:val="1A1A1A"/>
          <w:sz w:val="22"/>
          <w:szCs w:val="22"/>
        </w:rPr>
        <w:t xml:space="preserve">First-party client libraries in Python, TypeScript, and Java.</w:t>
      </w:r>
    </w:p>
    <w:p>
      <w:pPr>
        <w:spacing w:after="80" w:before="60" w:line="300"/>
        <w:jc w:val="both"/>
      </w:pPr>
      <w:r>
        <w:rPr>
          <w:rFonts w:ascii="Garamond" w:cs="Garamond" w:eastAsia="Garamond" w:hAnsi="Garamond"/>
          <w:color w:val="1A1A1A"/>
          <w:sz w:val="22"/>
          <w:szCs w:val="22"/>
        </w:rPr>
        <w:t xml:space="preserve">Idiomatic for each language, auto-generated from the API contract, published to PyPI, npm, and Maven Central. The SDKs collapse integration friction for partner developers — a strategic investment in ecosystem velocity.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IntegrationMarketplace</w:t>
      </w:r>
    </w:p>
    <w:p>
      <w:pPr>
        <w:keepNext/>
        <w:spacing w:after="80" w:before="0" w:line="280"/>
      </w:pPr>
      <w:r>
        <w:rPr>
          <w:rFonts w:ascii="Garamond" w:cs="Garamond" w:eastAsia="Garamond" w:hAnsi="Garamond"/>
          <w:i/>
          <w:iCs/>
          <w:color w:val="1A1A1A"/>
          <w:sz w:val="22"/>
          <w:szCs w:val="22"/>
        </w:rPr>
        <w:t xml:space="preserve">Catalog of partner-built connectors and extensions with certification standards.</w:t>
      </w:r>
    </w:p>
    <w:p>
      <w:pPr>
        <w:spacing w:after="80" w:before="60" w:line="300"/>
        <w:jc w:val="both"/>
      </w:pPr>
      <w:r>
        <w:rPr>
          <w:rFonts w:ascii="Garamond" w:cs="Garamond" w:eastAsia="Garamond" w:hAnsi="Garamond"/>
          <w:color w:val="1A1A1A"/>
          <w:sz w:val="22"/>
          <w:szCs w:val="22"/>
        </w:rPr>
        <w:t xml:space="preserve">Listing process, certification rubric, revenue-share model. The marketplace is the ecosystem flywheel — partners building atop Kincaid IQ deepen the platform's value and broaden its reach simultaneously.</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CustomerDataBoundaryKit</w:t>
      </w:r>
    </w:p>
    <w:p>
      <w:pPr>
        <w:keepNext/>
        <w:spacing w:after="80" w:before="0" w:line="280"/>
      </w:pPr>
      <w:r>
        <w:rPr>
          <w:rFonts w:ascii="Garamond" w:cs="Garamond" w:eastAsia="Garamond" w:hAnsi="Garamond"/>
          <w:i/>
          <w:iCs/>
          <w:color w:val="1A1A1A"/>
          <w:sz w:val="22"/>
          <w:szCs w:val="22"/>
        </w:rPr>
        <w:t xml:space="preserve">Tooling for customer-controlled deployment topologies.</w:t>
      </w:r>
    </w:p>
    <w:p>
      <w:pPr>
        <w:spacing w:after="80" w:before="60" w:line="300"/>
        <w:jc w:val="both"/>
      </w:pPr>
      <w:r>
        <w:rPr>
          <w:rFonts w:ascii="Garamond" w:cs="Garamond" w:eastAsia="Garamond" w:hAnsi="Garamond"/>
          <w:color w:val="1A1A1A"/>
          <w:sz w:val="22"/>
          <w:szCs w:val="22"/>
        </w:rPr>
        <w:t xml:space="preserve">Bring-Your-Own-Key encryption, dedicated tenant infrastructure, on-premises evidence vault for customers requiring data-residency guarantees beyond cloud-default. The kit is the architectural answer for the largest and most regulated customers whose security postures exceed the multi-tenant cloud default.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CompliancePortal</w:t>
      </w:r>
    </w:p>
    <w:p>
      <w:pPr>
        <w:keepNext/>
        <w:spacing w:after="80" w:before="0" w:line="280"/>
      </w:pPr>
      <w:r>
        <w:rPr>
          <w:rFonts w:ascii="Garamond" w:cs="Garamond" w:eastAsia="Garamond" w:hAnsi="Garamond"/>
          <w:i/>
          <w:iCs/>
          <w:color w:val="1A1A1A"/>
          <w:sz w:val="22"/>
          <w:szCs w:val="22"/>
        </w:rPr>
        <w:t xml:space="preserve">Real-time customer-facing compliance evidence and sub-processor registry.</w:t>
      </w:r>
    </w:p>
    <w:p>
      <w:pPr>
        <w:spacing w:after="80" w:before="60" w:line="300"/>
        <w:jc w:val="both"/>
      </w:pPr>
      <w:r>
        <w:rPr>
          <w:rFonts w:ascii="Garamond" w:cs="Garamond" w:eastAsia="Garamond" w:hAnsi="Garamond"/>
          <w:color w:val="1A1A1A"/>
          <w:sz w:val="22"/>
          <w:szCs w:val="22"/>
        </w:rPr>
        <w:t xml:space="preserve">SOC 2 Type II reports, HIPAA Business Associate documentation, penetration-test summaries, sub-processor registry — updated continuously, downloadable on demand. The portal collapses the customer-procurement-team interaction from a multi-week document-collection exercise into a self-service operation.</w:t>
      </w:r>
    </w:p>
    <w:p>
      <w:r>
        <w:br w:type="page"/>
      </w:r>
    </w:p>
    <w:p>
      <w:pPr>
        <w:spacing w:after="60" w:before="80"/>
        <w:jc w:val="left"/>
      </w:pPr>
      <w:r>
        <w:rPr>
          <w:rFonts w:ascii="Consolas" w:cs="Consolas" w:eastAsia="Consolas" w:hAnsi="Consolas"/>
          <w:b w:val="false"/>
          <w:bCs w:val="false"/>
          <w:color w:val="B8893F"/>
          <w:spacing w:val="60"/>
          <w:sz w:val="14"/>
          <w:szCs w:val="14"/>
        </w:rPr>
        <w:t xml:space="preserve">OS-22  ·  LAYER 3  ·  5 MODULES</w:t>
      </w:r>
    </w:p>
    <w:p>
      <w:pPr>
        <w:pStyle w:val="Heading2"/>
        <w:spacing w:after="100" w:before="240"/>
      </w:pPr>
      <w:r>
        <w:rPr>
          <w:rFonts w:ascii="Helvetica Neue" w:cs="Helvetica Neue" w:eastAsia="Helvetica Neue" w:hAnsi="Helvetica Neue"/>
          <w:b/>
          <w:bCs/>
          <w:color w:val="1A1A1A"/>
          <w:sz w:val="32"/>
          <w:szCs w:val="32"/>
        </w:rPr>
        <w:t xml:space="preserve">Remediation Automation</w:t>
      </w:r>
    </w:p>
    <w:p>
      <w:pPr>
        <w:pBdr>
          <w:bottom w:val="single" w:color="B8893F" w:sz="6" w:space="1"/>
        </w:pBdr>
        <w:spacing w:after="80" w:before="80"/>
      </w:pPr>
      <w:r>
        <w:t xml:space="preserve"/>
      </w:r>
    </w:p>
    <w:p>
      <w:pPr>
        <w:spacing w:after="120" w:before="120"/>
      </w:pPr>
      <w:r>
        <w:t xml:space="preserve"/>
      </w:r>
    </w:p>
    <w:p>
      <w:pPr>
        <w:spacing w:after="60" w:before="80"/>
        <w:jc w:val="left"/>
      </w:pPr>
      <w:r>
        <w:rPr>
          <w:rFonts w:ascii="Consolas" w:cs="Consolas" w:eastAsia="Consolas" w:hAnsi="Consolas"/>
          <w:b w:val="false"/>
          <w:bCs w:val="false"/>
          <w:color w:val="B8893F"/>
          <w:spacing w:val="60"/>
          <w:sz w:val="14"/>
          <w:szCs w:val="14"/>
        </w:rPr>
        <w:t xml:space="preserve">OPERATING THESIS</w:t>
      </w:r>
    </w:p>
    <w:p>
      <w:pPr>
        <w:spacing w:after="120" w:before="80" w:line="320"/>
        <w:jc w:val="left"/>
      </w:pPr>
      <w:r>
        <w:rPr>
          <w:rFonts w:ascii="Garamond" w:cs="Garamond" w:eastAsia="Garamond" w:hAnsi="Garamond"/>
          <w:i/>
          <w:iCs/>
          <w:color w:val="1A1A1A"/>
          <w:sz w:val="22"/>
          <w:szCs w:val="22"/>
        </w:rPr>
        <w:t xml:space="preserve">Findings become actions become outcomes. The loop closes inside the platform. The operating system is the architectural commitment that analytic discovery is not the deliverable — recovered dollars are the deliverable, and the platform owns the path from one to the other.</w:t>
      </w:r>
    </w:p>
    <w:p>
      <w:pPr>
        <w:spacing w:after="200" w:before="200"/>
      </w:pPr>
      <w:r>
        <w:t xml:space="preserve"/>
      </w:r>
    </w:p>
    <w:p>
      <w:pPr>
        <w:spacing w:after="60" w:before="80"/>
        <w:jc w:val="left"/>
      </w:pPr>
      <w:r>
        <w:rPr>
          <w:rFonts w:ascii="Consolas" w:cs="Consolas" w:eastAsia="Consolas" w:hAnsi="Consolas"/>
          <w:b w:val="false"/>
          <w:bCs w:val="false"/>
          <w:color w:val="B8893F"/>
          <w:spacing w:val="60"/>
          <w:sz w:val="14"/>
          <w:szCs w:val="14"/>
        </w:rPr>
        <w:t xml:space="preserve">MODULES</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M001  </w:t>
      </w:r>
      <w:r>
        <w:rPr>
          <w:rFonts w:ascii="Helvetica Neue" w:cs="Helvetica Neue" w:eastAsia="Helvetica Neue" w:hAnsi="Helvetica Neue"/>
          <w:b/>
          <w:bCs/>
          <w:color w:val="1A1A1A"/>
          <w:sz w:val="24"/>
          <w:szCs w:val="24"/>
        </w:rPr>
        <w:t xml:space="preserve">ContractRedlineGenerator</w:t>
      </w:r>
    </w:p>
    <w:p>
      <w:pPr>
        <w:keepNext/>
        <w:spacing w:after="80" w:before="0" w:line="280"/>
      </w:pPr>
      <w:r>
        <w:rPr>
          <w:rFonts w:ascii="Garamond" w:cs="Garamond" w:eastAsia="Garamond" w:hAnsi="Garamond"/>
          <w:i/>
          <w:iCs/>
          <w:color w:val="1A1A1A"/>
          <w:sz w:val="22"/>
          <w:szCs w:val="22"/>
        </w:rPr>
        <w:t xml:space="preserve">Marked-up contract amendments generated from findings.</w:t>
      </w:r>
    </w:p>
    <w:p>
      <w:pPr>
        <w:spacing w:after="80" w:before="60" w:line="300"/>
        <w:jc w:val="both"/>
      </w:pPr>
      <w:r>
        <w:rPr>
          <w:rFonts w:ascii="Garamond" w:cs="Garamond" w:eastAsia="Garamond" w:hAnsi="Garamond"/>
          <w:color w:val="1A1A1A"/>
          <w:sz w:val="22"/>
          <w:szCs w:val="22"/>
        </w:rPr>
        <w:t xml:space="preserve">When a clause is structurally underperforming or contractually absent, the module generates the redline: the exact insertion, deletion, or substitution language, tied to the finding that justifies it. Customer counsel reviews; the platform did the legal scaffolding. The module collapses what is typically a multi-week legal exercise into a same-day reviewable draft.</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M002  </w:t>
      </w:r>
      <w:r>
        <w:rPr>
          <w:rFonts w:ascii="Helvetica Neue" w:cs="Helvetica Neue" w:eastAsia="Helvetica Neue" w:hAnsi="Helvetica Neue"/>
          <w:b/>
          <w:bCs/>
          <w:color w:val="1A1A1A"/>
          <w:sz w:val="24"/>
          <w:szCs w:val="24"/>
        </w:rPr>
        <w:t xml:space="preserve">RFPClauseGenerator</w:t>
      </w:r>
    </w:p>
    <w:p>
      <w:pPr>
        <w:keepNext/>
        <w:spacing w:after="80" w:before="0" w:line="280"/>
      </w:pPr>
      <w:r>
        <w:rPr>
          <w:rFonts w:ascii="Garamond" w:cs="Garamond" w:eastAsia="Garamond" w:hAnsi="Garamond"/>
          <w:i/>
          <w:iCs/>
          <w:color w:val="1A1A1A"/>
          <w:sz w:val="22"/>
          <w:szCs w:val="22"/>
        </w:rPr>
        <w:t xml:space="preserve">RFP-ready clause libraries and scoring rubrics composed from findings.</w:t>
      </w:r>
    </w:p>
    <w:p>
      <w:pPr>
        <w:spacing w:after="80" w:before="60" w:line="300"/>
        <w:jc w:val="both"/>
      </w:pPr>
      <w:r>
        <w:rPr>
          <w:rFonts w:ascii="Garamond" w:cs="Garamond" w:eastAsia="Garamond" w:hAnsi="Garamond"/>
          <w:color w:val="1A1A1A"/>
          <w:sz w:val="22"/>
          <w:szCs w:val="22"/>
        </w:rPr>
        <w:t xml:space="preserve">When the data justifies a market test, the platform produces the RFP package: required clauses, scoring rubric, vendor-disqualification criteria, model contract terms. The procurement playbook, productized. The output is what allows a plan committee to run a structurally rigorous procurement without retaining outside consulting expertise.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M003  </w:t>
      </w:r>
      <w:r>
        <w:rPr>
          <w:rFonts w:ascii="Helvetica Neue" w:cs="Helvetica Neue" w:eastAsia="Helvetica Neue" w:hAnsi="Helvetica Neue"/>
          <w:b/>
          <w:bCs/>
          <w:color w:val="1A1A1A"/>
          <w:sz w:val="24"/>
          <w:szCs w:val="24"/>
        </w:rPr>
        <w:t xml:space="preserve">DisputePacketBuilder</w:t>
      </w:r>
    </w:p>
    <w:p>
      <w:pPr>
        <w:keepNext/>
        <w:spacing w:after="80" w:before="0" w:line="280"/>
      </w:pPr>
      <w:r>
        <w:rPr>
          <w:rFonts w:ascii="Garamond" w:cs="Garamond" w:eastAsia="Garamond" w:hAnsi="Garamond"/>
          <w:i/>
          <w:iCs/>
          <w:color w:val="1A1A1A"/>
          <w:sz w:val="22"/>
          <w:szCs w:val="22"/>
        </w:rPr>
        <w:t xml:space="preserve">Vendor-dispute evidentiary assembly with contractual basis and requested remedy.</w:t>
      </w:r>
    </w:p>
    <w:p>
      <w:pPr>
        <w:spacing w:after="80" w:before="60" w:line="300"/>
        <w:jc w:val="both"/>
      </w:pPr>
      <w:r>
        <w:rPr>
          <w:rFonts w:ascii="Garamond" w:cs="Garamond" w:eastAsia="Garamond" w:hAnsi="Garamond"/>
          <w:color w:val="1A1A1A"/>
          <w:sz w:val="22"/>
          <w:szCs w:val="22"/>
        </w:rPr>
        <w:t xml:space="preserve">When reconciliation surfaces a discrepancy, the module assembles the dispute packet: claim, evidence, computation, contractual basis, requested remedy. Send-ready, counsel-reviewed, auditor-defensible. The packet collapses the typical multi-month dispute-preparation exercise into a same-week deliverable.</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M004  </w:t>
      </w:r>
      <w:r>
        <w:rPr>
          <w:rFonts w:ascii="Helvetica Neue" w:cs="Helvetica Neue" w:eastAsia="Helvetica Neue" w:hAnsi="Helvetica Neue"/>
          <w:b/>
          <w:bCs/>
          <w:color w:val="1A1A1A"/>
          <w:sz w:val="24"/>
          <w:szCs w:val="24"/>
        </w:rPr>
        <w:t xml:space="preserve">InitiativeExecutor</w:t>
      </w:r>
    </w:p>
    <w:p>
      <w:pPr>
        <w:keepNext/>
        <w:spacing w:after="80" w:before="0" w:line="280"/>
      </w:pPr>
      <w:r>
        <w:rPr>
          <w:rFonts w:ascii="Garamond" w:cs="Garamond" w:eastAsia="Garamond" w:hAnsi="Garamond"/>
          <w:i/>
          <w:iCs/>
          <w:color w:val="1A1A1A"/>
          <w:sz w:val="22"/>
          <w:szCs w:val="22"/>
        </w:rPr>
        <w:t xml:space="preserve">Workflow-driven remediation orchestration with realization reconciliation.</w:t>
      </w:r>
    </w:p>
    <w:p>
      <w:pPr>
        <w:spacing w:after="80" w:before="60" w:line="300"/>
        <w:jc w:val="both"/>
      </w:pPr>
      <w:r>
        <w:rPr>
          <w:rFonts w:ascii="Garamond" w:cs="Garamond" w:eastAsia="Garamond" w:hAnsi="Garamond"/>
          <w:color w:val="1A1A1A"/>
          <w:sz w:val="22"/>
          <w:szCs w:val="22"/>
        </w:rPr>
        <w:t xml:space="preserve">An Initiative is a project. The Executor manages task assignment, dependency tracking, milestone progression, and realization reconciliation against forecast. The module is what closes the platform's value loop: findings produce Initiatives, Initiatives produce realized recoveries, realized recoveries feed back into the platform's empirical confidence calibration.</w:t>
      </w:r>
    </w:p>
    <w:p>
      <w:pPr>
        <w:pBdr>
          <w:bottom w:val="single" w:color="C8C8C8" w:sz="2" w:space="1"/>
        </w:pBdr>
        <w:spacing w:after="80" w:before="120"/>
      </w:pPr>
      <w:r>
        <w:t xml:space="preserve"/>
      </w:r>
    </w:p>
    <w:p>
      <w:pPr>
        <w:keepNext/>
        <w:spacing w:after="40" w:before="200"/>
      </w:pPr>
      <w:r>
        <w:rPr>
          <w:rFonts w:ascii="Consolas" w:cs="Consolas" w:eastAsia="Consolas" w:hAnsi="Consolas"/>
          <w:color w:val="5C5C5C"/>
          <w:sz w:val="18"/>
          <w:szCs w:val="18"/>
        </w:rPr>
        <w:t xml:space="preserve">M005  </w:t>
      </w:r>
      <w:r>
        <w:rPr>
          <w:rFonts w:ascii="Helvetica Neue" w:cs="Helvetica Neue" w:eastAsia="Helvetica Neue" w:hAnsi="Helvetica Neue"/>
          <w:b/>
          <w:bCs/>
          <w:color w:val="1A1A1A"/>
          <w:sz w:val="24"/>
          <w:szCs w:val="24"/>
        </w:rPr>
        <w:t xml:space="preserve">BoardActionEngine</w:t>
      </w:r>
    </w:p>
    <w:p>
      <w:pPr>
        <w:keepNext/>
        <w:spacing w:after="80" w:before="0" w:line="280"/>
      </w:pPr>
      <w:r>
        <w:rPr>
          <w:rFonts w:ascii="Garamond" w:cs="Garamond" w:eastAsia="Garamond" w:hAnsi="Garamond"/>
          <w:i/>
          <w:iCs/>
          <w:color w:val="1A1A1A"/>
          <w:sz w:val="22"/>
          <w:szCs w:val="22"/>
        </w:rPr>
        <w:t xml:space="preserve">Board-decision capture and execution tracking.</w:t>
      </w:r>
    </w:p>
    <w:p>
      <w:pPr>
        <w:spacing w:after="80" w:before="60" w:line="300"/>
        <w:jc w:val="both"/>
      </w:pPr>
      <w:r>
        <w:rPr>
          <w:rFonts w:ascii="Garamond" w:cs="Garamond" w:eastAsia="Garamond" w:hAnsi="Garamond"/>
          <w:color w:val="1A1A1A"/>
          <w:sz w:val="22"/>
          <w:szCs w:val="22"/>
        </w:rPr>
        <w:t xml:space="preserve">When a board approves a remediation path, the engine records the resolution, links it to the Initiative, tracks execution, and reports back at the next meeting. Decision Memory, materialized. The engine is the platform's architectural commitment that board governance is a continuous record, not an episodic memory.</w:t>
      </w:r>
    </w:p>
    <w:p>
      <w:r>
        <w:br w:type="page"/>
      </w:r>
    </w:p>
    <w:p>
      <w:pPr>
        <w:spacing w:after="2400" w:before="2400"/>
      </w:pPr>
      <w:r>
        <w:t xml:space="preserve"/>
      </w:r>
    </w:p>
    <w:p>
      <w:pPr>
        <w:pBdr>
          <w:bottom w:val="single" w:color="B8893F" w:sz="6" w:space="1"/>
        </w:pBdr>
        <w:spacing w:after="80" w:before="80"/>
      </w:pPr>
      <w:r>
        <w:t xml:space="preserve"/>
      </w:r>
    </w:p>
    <w:p>
      <w:pPr>
        <w:spacing w:after="200" w:before="200"/>
      </w:pPr>
      <w:r>
        <w:t xml:space="preserve"/>
      </w:r>
    </w:p>
    <w:p>
      <w:pPr>
        <w:spacing w:after="240" w:before="240"/>
        <w:jc w:val="center"/>
      </w:pPr>
      <w:r>
        <w:rPr>
          <w:rFonts w:ascii="Helvetica Neue" w:cs="Helvetica Neue" w:eastAsia="Helvetica Neue" w:hAnsi="Helvetica Neue"/>
          <w:b/>
          <w:bCs/>
          <w:i/>
          <w:iCs/>
          <w:color w:val="5C5C5C"/>
          <w:sz w:val="48"/>
          <w:szCs w:val="48"/>
        </w:rPr>
        <w:t xml:space="preserve">Dashboards show numbers.</w:t>
      </w:r>
    </w:p>
    <w:p>
      <w:pPr>
        <w:spacing w:after="360" w:before="0"/>
        <w:jc w:val="center"/>
      </w:pPr>
      <w:r>
        <w:rPr>
          <w:rFonts w:ascii="Helvetica Neue" w:cs="Helvetica Neue" w:eastAsia="Helvetica Neue" w:hAnsi="Helvetica Neue"/>
          <w:b/>
          <w:bCs/>
          <w:i/>
          <w:iCs/>
          <w:color w:val="B8893F"/>
          <w:sz w:val="48"/>
          <w:szCs w:val="48"/>
        </w:rPr>
        <w:t xml:space="preserve">Kincaid IQ shows receipts.</w:t>
      </w:r>
    </w:p>
    <w:p>
      <w:pPr>
        <w:spacing w:after="200" w:before="200"/>
      </w:pPr>
      <w:r>
        <w:t xml:space="preserve"/>
      </w:r>
    </w:p>
    <w:p>
      <w:pPr>
        <w:pBdr>
          <w:bottom w:val="single" w:color="B8893F" w:sz="6" w:space="1"/>
        </w:pBdr>
        <w:spacing w:after="80" w:before="80"/>
      </w:pPr>
      <w:r>
        <w:t xml:space="preserve"/>
      </w:r>
    </w:p>
    <w:p>
      <w:pPr>
        <w:spacing w:after="400" w:before="400"/>
      </w:pPr>
      <w:r>
        <w:t xml:space="preserve"/>
      </w:r>
    </w:p>
    <w:p>
      <w:pPr>
        <w:jc w:val="center"/>
      </w:pPr>
      <w:r>
        <w:rPr>
          <w:rFonts w:ascii="Consolas" w:cs="Consolas" w:eastAsia="Consolas" w:hAnsi="Consolas"/>
          <w:color w:val="5C5C5C"/>
          <w:spacing w:val="60"/>
          <w:sz w:val="16"/>
          <w:szCs w:val="16"/>
        </w:rPr>
        <w:t xml:space="preserve">SIRIUSB iQ  ·  AI FINANCIAL INTELLIGENCE INFRASTRUCTURE</w:t>
      </w:r>
    </w:p>
    <w:p>
      <w:pPr>
        <w:spacing w:before="80"/>
        <w:jc w:val="center"/>
      </w:pPr>
      <w:r>
        <w:rPr>
          <w:rFonts w:ascii="Consolas" w:cs="Consolas" w:eastAsia="Consolas" w:hAnsi="Consolas"/>
          <w:color w:val="5C5C5C"/>
          <w:spacing w:val="40"/>
          <w:sz w:val="14"/>
          <w:szCs w:val="14"/>
        </w:rPr>
        <w:t xml:space="preserve">Carmel, Indiana  ·  Edition v10.4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space="6"/>
      </w:pBdr>
      <w:tabs>
        <w:tab w:val="right" w:pos="9026"/>
      </w:tabs>
      <w:spacing w:before="60"/>
    </w:pPr>
    <w:r>
      <w:rPr>
        <w:rFonts w:ascii="Consolas" w:cs="Consolas" w:eastAsia="Consolas" w:hAnsi="Consolas"/>
        <w:color w:val="5C5C5C"/>
        <w:spacing w:val="40"/>
        <w:sz w:val="14"/>
        <w:szCs w:val="14"/>
      </w:rPr>
      <w:t xml:space="preserve">SiriusB iQ · AI Financial Intelligence Infrastructure</w:t>
    </w:r>
    <w:r>
      <w:rPr>
        <w:rFonts w:ascii="Consolas" w:cs="Consolas" w:eastAsia="Consolas" w:hAnsi="Consolas"/>
        <w:sz w:val="14"/>
        <w:szCs w:val="14"/>
      </w:rPr>
      <w:t xml:space="preserve">	</w:t>
    </w:r>
    <w:r>
      <w:rPr>
        <w:rFonts w:ascii="Consolas" w:cs="Consolas" w:eastAsia="Consolas" w:hAnsi="Consolas"/>
        <w:color w:val="5C5C5C"/>
        <w:spacing w:val="4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3F" w:sz="4" w:space="6"/>
      </w:pBdr>
      <w:tabs>
        <w:tab w:val="right" w:pos="9026"/>
      </w:tabs>
      <w:spacing w:after="60"/>
    </w:pPr>
    <w:r>
      <w:rPr>
        <w:rFonts w:ascii="Consolas" w:cs="Consolas" w:eastAsia="Consolas" w:hAnsi="Consolas"/>
        <w:color w:val="5C5C5C"/>
        <w:spacing w:val="50"/>
        <w:sz w:val="14"/>
        <w:szCs w:val="14"/>
      </w:rPr>
      <w:t xml:space="preserve">KINCAID IQ · MODULE COMPENDIUM</w:t>
    </w:r>
    <w:r>
      <w:rPr>
        <w:rFonts w:ascii="Consolas" w:cs="Consolas" w:eastAsia="Consolas" w:hAnsi="Consolas"/>
        <w:sz w:val="14"/>
        <w:szCs w:val="14"/>
      </w:rPr>
      <w:t xml:space="preserve">	</w:t>
    </w:r>
    <w:r>
      <w:rPr>
        <w:rFonts w:ascii="Consolas" w:cs="Consolas" w:eastAsia="Consolas" w:hAnsi="Consolas"/>
        <w:color w:val="B8893F"/>
        <w:spacing w:val="50"/>
        <w:sz w:val="14"/>
        <w:szCs w:val="14"/>
      </w:rPr>
      <w:t xml:space="preserve">MIT/STANFORD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Helvetica Neue" w:cs="Helvetica Neue" w:eastAsia="Helvetica Neue" w:hAnsi="Helvetica Neue"/>
      <w:b/>
      <w:bCs/>
      <w:color w:val="1A1A1A"/>
      <w:sz w:val="44"/>
      <w:szCs w:val="44"/>
    </w:rPr>
  </w:style>
  <w:style w:type="paragraph" w:styleId="Heading2">
    <w:name w:val="Heading 2"/>
    <w:basedOn w:val="Normal"/>
    <w:next w:val="Normal"/>
    <w:qFormat/>
    <w:pPr>
      <w:spacing w:after="100" w:before="180"/>
      <w:outlineLvl w:val="1"/>
    </w:pPr>
    <w:rPr>
      <w:rFonts w:ascii="Helvetica Neue" w:cs="Helvetica Neue" w:eastAsia="Helvetica Neue" w:hAnsi="Helvetica Neue"/>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2026-05-23T21:39:19.125Z</dcterms:created>
  <dcterms:modified xsi:type="dcterms:W3CDTF">2026-05-23T21:39:19.125Z</dcterms:modified>
</cp:coreProperties>
</file>

<file path=docProps/custom.xml><?xml version="1.0" encoding="utf-8"?>
<Properties xmlns="http://schemas.openxmlformats.org/officeDocument/2006/custom-properties" xmlns:vt="http://schemas.openxmlformats.org/officeDocument/2006/docPropsVTypes"/>
</file>