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0" w:before="0"/>
      </w:pPr>
      <w:r>
        <w:rPr>
          <w:rFonts w:ascii="Georgia" w:cs="Georgia" w:eastAsia="Georgia" w:hAnsi="Georgia"/>
          <w:color w:val="1A1820"/>
          <w:sz w:val="26"/>
          <w:szCs w:val="26"/>
        </w:rPr>
        <w:t xml:space="preserve">KINCAID iQ</w:t>
      </w:r>
      <w:r>
        <w:rPr>
          <w:rFonts w:ascii="Georgia" w:cs="Georgia" w:eastAsia="Georgia" w:hAnsi="Georgia"/>
          <w:i/>
          <w:iCs/>
          <w:color w:val="B8893C"/>
          <w:sz w:val="26"/>
          <w:szCs w:val="26"/>
        </w:rPr>
        <w:t xml:space="preserve">  ·  SiriusB iQ</w:t>
      </w:r>
      <w:r>
        <w:rPr>
          <w:rFonts w:ascii="Consolas" w:cs="Consolas" w:eastAsia="Consolas" w:hAnsi="Consolas"/>
        </w:rPr>
        <w:t xml:space="preserve">	</w:t>
      </w:r>
      <w:r>
        <w:rPr>
          <w:rFonts w:ascii="Consolas" w:cs="Consolas" w:eastAsia="Consolas" w:hAnsi="Consolas"/>
          <w:color w:val="847E72"/>
          <w:spacing w:val="30"/>
          <w:sz w:val="15"/>
          <w:szCs w:val="15"/>
        </w:rPr>
        <w:t xml:space="preserve">DOCTRINE  ·  MASTER BUILD  ·  v1.0</w:t>
      </w:r>
    </w:p>
    <w:p>
      <w:pPr>
        <w:spacing w:after="80" w:before="0"/>
      </w:pPr>
      <w:r>
        <w:t xml:space="preserve"/>
      </w:r>
    </w:p>
    <w:p>
      <w:pPr>
        <w:pBdr>
          <w:bottom w:val="single" w:color="B8893C" w:sz="18" w:space="1"/>
        </w:pBdr>
      </w:pPr>
      <w:r>
        <w:t xml:space="preserve"/>
      </w:r>
    </w:p>
    <w:p>
      <w:pPr>
        <w:spacing w:after="800" w:before="0"/>
      </w:pPr>
      <w:r>
        <w:t xml:space="preserve"/>
      </w:r>
    </w:p>
    <w:p>
      <w:pPr>
        <w:spacing w:after="120" w:before="0"/>
      </w:pPr>
      <w:r>
        <w:rPr>
          <w:rFonts w:ascii="Consolas" w:cs="Consolas" w:eastAsia="Consolas" w:hAnsi="Consolas"/>
          <w:b/>
          <w:bCs/>
          <w:color w:val="B8893C"/>
          <w:spacing w:val="60"/>
          <w:sz w:val="18"/>
          <w:szCs w:val="18"/>
        </w:rPr>
        <w:t xml:space="preserve">REPLIT MASTER BUILD PROMPT</w:t>
      </w:r>
    </w:p>
    <w:p>
      <w:pPr>
        <w:spacing w:after="60" w:before="0" w:line="380"/>
      </w:pPr>
      <w:r>
        <w:rPr>
          <w:rFonts w:ascii="Georgia" w:cs="Georgia" w:eastAsia="Georgia" w:hAnsi="Georgia"/>
          <w:color w:val="1A1820"/>
          <w:sz w:val="84"/>
          <w:szCs w:val="84"/>
        </w:rPr>
        <w:t xml:space="preserve">The </w:t>
      </w:r>
      <w:r>
        <w:rPr>
          <w:rFonts w:ascii="Georgia" w:cs="Georgia" w:eastAsia="Georgia" w:hAnsi="Georgia"/>
          <w:i/>
          <w:iCs/>
          <w:color w:val="B8893C"/>
          <w:sz w:val="84"/>
          <w:szCs w:val="84"/>
        </w:rPr>
        <w:t xml:space="preserve">Constitutional</w:t>
      </w:r>
    </w:p>
    <w:p>
      <w:pPr>
        <w:spacing w:after="240" w:before="0" w:line="380"/>
      </w:pPr>
      <w:r>
        <w:rPr>
          <w:rFonts w:ascii="Georgia" w:cs="Georgia" w:eastAsia="Georgia" w:hAnsi="Georgia"/>
          <w:color w:val="1A1820"/>
          <w:sz w:val="84"/>
          <w:szCs w:val="84"/>
        </w:rPr>
        <w:t xml:space="preserve">Build Order.</w:t>
      </w:r>
    </w:p>
    <w:p>
      <w:pPr>
        <w:spacing w:after="600" w:before="0" w:line="360"/>
      </w:pPr>
      <w:r>
        <w:rPr>
          <w:rFonts w:ascii="Georgia" w:cs="Georgia" w:eastAsia="Georgia" w:hAnsi="Georgia"/>
          <w:i/>
          <w:iCs/>
          <w:color w:val="5C5A55"/>
          <w:sz w:val="26"/>
          <w:szCs w:val="26"/>
        </w:rPr>
        <w:t xml:space="preserve">A specification for engineers, not a brief for marketers. The SiriusB engine, deployed as the Kincaid iQ healthcare application, executed under the constraints that make fiduciary-grade computational infrastructure structurally different from a dashboard.</w:t>
      </w:r>
    </w:p>
    <w:tbl>
      <w:tblPr>
        <w:tblW w:type="dxa" w:w="9360"/>
        <w:tblBorders>
          <w:top w:val="single" w:color="B8893C" w:sz="12"/>
          <w:left w:val="single" w:color="B8893C" w:sz="12"/>
          <w:bottom w:val="single" w:color="B8893C" w:sz="12"/>
          <w:right w:val="single" w:color="B8893C" w:sz="12"/>
          <w:insideH w:val="none" w:color="FFFFFF" w:sz="0"/>
          <w:insideV w:val="none" w:color="FFFFFF" w:sz="0"/>
        </w:tblBorders>
      </w:tblPr>
      <w:tblGrid>
        <w:gridCol w:w="9360"/>
      </w:tblGrid>
      <w:tr>
        <w:tc>
          <w:tcPr>
            <w:tcW w:type="dxa" w:w="9360"/>
            <w:tcBorders>
              <w:top w:val="single" w:color="B8893C" w:sz="4"/>
              <w:left w:val="single" w:color="B8893C" w:sz="4"/>
              <w:bottom w:val="single" w:color="B8893C" w:sz="4"/>
              <w:right w:val="single" w:color="B8893C" w:sz="4"/>
            </w:tcBorders>
            <w:shd w:fill="F7F4ED" w:val="clear"/>
            <w:tcMar>
              <w:top w:type="dxa" w:w="280"/>
              <w:left w:type="dxa" w:w="320"/>
              <w:bottom w:type="dxa" w:w="280"/>
              <w:right w:type="dxa" w:w="320"/>
            </w:tcMar>
          </w:tcPr>
          <w:p>
            <w:pPr>
              <w:spacing w:after="120" w:before="0"/>
            </w:pPr>
            <w:r>
              <w:rPr>
                <w:rFonts w:ascii="Consolas" w:cs="Consolas" w:eastAsia="Consolas" w:hAnsi="Consolas"/>
                <w:b/>
                <w:bCs/>
                <w:color w:val="B8893C"/>
                <w:spacing w:val="40"/>
                <w:sz w:val="16"/>
                <w:szCs w:val="16"/>
              </w:rPr>
              <w:t xml:space="preserve">VOICE CONTRACT FOR THE EXECUTING AGENT</w:t>
            </w:r>
          </w:p>
          <w:p>
            <w:pPr>
              <w:spacing w:after="0" w:before="0" w:line="340"/>
            </w:pPr>
            <w:r>
              <w:rPr>
                <w:rFonts w:ascii="Georgia" w:cs="Georgia" w:eastAsia="Georgia" w:hAnsi="Georgia"/>
                <w:i/>
                <w:iCs/>
                <w:color w:val="1A1820"/>
                <w:sz w:val="22"/>
                <w:szCs w:val="22"/>
              </w:rPr>
              <w:t xml:space="preserve">Senior McKinsey Partner — strategic economy, MECE structure, board-room directness — overlaid on Stanford PhD in Systems Engineering: formal contracts, invariants, control loops, failure-mode reasoning. No marketing language. No hedging. Every decision is justified by a structural property, not a preference.</w:t>
            </w:r>
          </w:p>
        </w:tc>
      </w:tr>
    </w:tbl>
    <w:p>
      <w:pPr>
        <w:spacing w:after="600" w:before="0"/>
      </w:pPr>
      <w:r>
        <w:t xml:space="preserve"/>
      </w:r>
    </w:p>
    <w:p>
      <w:pPr>
        <w:spacing w:after="40" w:before="0"/>
      </w:pPr>
      <w:r>
        <w:rPr>
          <w:rFonts w:ascii="Georgia" w:cs="Georgia" w:eastAsia="Georgia" w:hAnsi="Georgia"/>
          <w:color w:val="1A1820"/>
          <w:sz w:val="32"/>
          <w:szCs w:val="32"/>
        </w:rPr>
        <w:t xml:space="preserve">Jeremiah Franklin Shrack</w:t>
      </w:r>
    </w:p>
    <w:p>
      <w:pPr>
        <w:spacing w:after="20" w:before="0"/>
      </w:pPr>
      <w:r>
        <w:rPr>
          <w:rFonts w:ascii="Consolas" w:cs="Consolas" w:eastAsia="Consolas" w:hAnsi="Consolas"/>
          <w:b/>
          <w:bCs/>
          <w:color w:val="B8893C"/>
          <w:spacing w:val="40"/>
          <w:sz w:val="16"/>
          <w:szCs w:val="16"/>
        </w:rPr>
        <w:t xml:space="preserve">CEO &amp; CHAIRMAN  ·  PRINCIPAL ARCHITECT</w:t>
      </w:r>
    </w:p>
    <w:p>
      <w:pPr>
        <w:spacing w:after="240" w:before="0"/>
      </w:pPr>
      <w:r>
        <w:rPr>
          <w:rFonts w:ascii="Consolas" w:cs="Consolas" w:eastAsia="Consolas" w:hAnsi="Consolas"/>
          <w:color w:val="847E72"/>
          <w:spacing w:val="40"/>
          <w:sz w:val="14"/>
          <w:szCs w:val="14"/>
        </w:rPr>
        <w:t xml:space="preserve">SIRIUSB iQ  ·  KINCAID iQ  ·  KINCAID RMC</w:t>
      </w:r>
    </w:p>
    <w:p>
      <w:r>
        <w:br w:type="page"/>
      </w:r>
    </w:p>
    <w:p>
      <w:pPr>
        <w:spacing w:after="60" w:before="240"/>
      </w:pPr>
      <w:r>
        <w:rPr>
          <w:rFonts w:ascii="Consolas" w:cs="Consolas" w:eastAsia="Consolas" w:hAnsi="Consolas"/>
          <w:b/>
          <w:bCs/>
          <w:color w:val="B8893C"/>
          <w:spacing w:val="40"/>
          <w:sz w:val="16"/>
          <w:szCs w:val="16"/>
        </w:rPr>
        <w:t xml:space="preserve">§ 0  ·  NON-NEGOTIABLE CONSTRAINTS</w:t>
      </w:r>
    </w:p>
    <w:p>
      <w:pPr>
        <w:spacing w:after="120" w:before="240" w:line="320"/>
      </w:pPr>
      <w:r>
        <w:rPr>
          <w:rFonts w:ascii="Georgia" w:cs="Georgia" w:eastAsia="Georgia" w:hAnsi="Georgia"/>
          <w:color w:val="1A1820"/>
          <w:sz w:val="44"/>
          <w:szCs w:val="44"/>
        </w:rPr>
        <w:t xml:space="preserve">The Four</w:t>
      </w:r>
      <w:r>
        <w:rPr>
          <w:rFonts w:ascii="Georgia" w:cs="Georgia" w:eastAsia="Georgia" w:hAnsi="Georgia"/>
          <w:i/>
          <w:iCs/>
          <w:color w:val="B8893C"/>
          <w:sz w:val="44"/>
          <w:szCs w:val="44"/>
        </w:rPr>
        <w:t xml:space="preserve"> Hard Rules.</w:t>
      </w:r>
    </w:p>
    <w:p>
      <w:pPr>
        <w:spacing w:after="180" w:before="80" w:line="320"/>
      </w:pPr>
      <w:r>
        <w:rPr>
          <w:rFonts w:ascii="Georgia" w:cs="Georgia" w:eastAsia="Georgia" w:hAnsi="Georgia"/>
          <w:i/>
          <w:iCs/>
          <w:color w:val="5C5A55"/>
          <w:sz w:val="22"/>
          <w:szCs w:val="22"/>
        </w:rPr>
        <w:t xml:space="preserve">Constitutional. Not subject to engineering trade-off. Code that violates one of these is, by definition, not a Kincaid iQ feature and must be rejected at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RULE</w:t>
            </w:r>
          </w:p>
        </w:tc>
        <w:tc>
          <w:tcPr>
            <w:tcW w:type="dxa" w:w="30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STATEMENT</w:t>
            </w:r>
          </w:p>
        </w:tc>
        <w:tc>
          <w:tcPr>
            <w:tcW w:type="dxa" w:w="55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ENFORCEMENT MECHANISM</w:t>
            </w:r>
          </w:p>
        </w:tc>
      </w:tr>
      <w:tr>
        <w:tc>
          <w:tcPr>
            <w:tcW w:type="dxa" w:w="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B8893C"/>
                <w:sz w:val="18"/>
                <w:szCs w:val="18"/>
              </w:rPr>
              <w:t xml:space="preserve">01</w:t>
            </w:r>
          </w:p>
        </w:tc>
        <w:tc>
          <w:tcPr>
            <w:tcW w:type="dxa" w:w="3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One screen, four tiles always.</w:t>
            </w:r>
          </w:p>
        </w:tc>
        <w:tc>
          <w:tcPr>
            <w:tcW w:type="dxa" w:w="55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TypeScript 4-tuple at the type level. Adding a fifth tile requires a type-signature change.</w:t>
            </w:r>
          </w:p>
        </w:tc>
      </w:tr>
      <w:tr>
        <w:tc>
          <w:tcPr>
            <w:tcW w:type="dxa" w:w="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B8893C"/>
                <w:sz w:val="18"/>
                <w:szCs w:val="18"/>
              </w:rPr>
              <w:t xml:space="preserve">02</w:t>
            </w:r>
          </w:p>
        </w:tc>
        <w:tc>
          <w:tcPr>
            <w:tcW w:type="dxa" w:w="3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Every number clickable into receipts.</w:t>
            </w:r>
          </w:p>
        </w:tc>
        <w:tc>
          <w:tcPr>
            <w:tcW w:type="dxa" w:w="55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Routed deep-link, not a tooltip. Every KPI carries a kpi_id resolving to full lineage.</w:t>
            </w:r>
          </w:p>
        </w:tc>
      </w:tr>
      <w:tr>
        <w:tc>
          <w:tcPr>
            <w:tcW w:type="dxa" w:w="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B8893C"/>
                <w:sz w:val="18"/>
                <w:szCs w:val="18"/>
              </w:rPr>
              <w:t xml:space="preserve">03</w:t>
            </w:r>
          </w:p>
        </w:tc>
        <w:tc>
          <w:tcPr>
            <w:tcW w:type="dxa" w:w="3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No export without receipts.</w:t>
            </w:r>
          </w:p>
        </w:tc>
        <w:tc>
          <w:tcPr>
            <w:tcW w:type="dxa" w:w="55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Cryptographic manifest (SHA-256 of all cited refs) attached to every export. RENDER gate rejects unattributed numbers.</w:t>
            </w:r>
          </w:p>
        </w:tc>
      </w:tr>
      <w:tr>
        <w:tc>
          <w:tcPr>
            <w:tcW w:type="dxa" w:w="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B8893C"/>
                <w:sz w:val="18"/>
                <w:szCs w:val="18"/>
              </w:rPr>
              <w:t xml:space="preserve">04</w:t>
            </w:r>
          </w:p>
        </w:tc>
        <w:tc>
          <w:tcPr>
            <w:tcW w:type="dxa" w:w="3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Narratives never outrun evidence.</w:t>
            </w:r>
          </w:p>
        </w:tc>
        <w:tc>
          <w:tcPr>
            <w:tcW w:type="dxa" w:w="55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Generative layer cites; does not infer. INSUFFICIENT_EVIDENCE returns "no finding," not a paper-over.</w:t>
            </w:r>
          </w:p>
        </w:tc>
      </w:tr>
    </w:tbl>
    <w:p>
      <w:r>
        <w:br w:type="page"/>
      </w:r>
    </w:p>
    <w:p>
      <w:pPr>
        <w:spacing w:after="60" w:before="240"/>
      </w:pPr>
      <w:r>
        <w:rPr>
          <w:rFonts w:ascii="Consolas" w:cs="Consolas" w:eastAsia="Consolas" w:hAnsi="Consolas"/>
          <w:b/>
          <w:bCs/>
          <w:color w:val="B8893C"/>
          <w:spacing w:val="40"/>
          <w:sz w:val="16"/>
          <w:szCs w:val="16"/>
        </w:rPr>
        <w:t xml:space="preserve">§ 1  ·  ARCHITECTURE</w:t>
      </w:r>
    </w:p>
    <w:p>
      <w:pPr>
        <w:spacing w:after="120" w:before="240" w:line="320"/>
      </w:pPr>
      <w:r>
        <w:rPr>
          <w:rFonts w:ascii="Georgia" w:cs="Georgia" w:eastAsia="Georgia" w:hAnsi="Georgia"/>
          <w:color w:val="1A1820"/>
          <w:sz w:val="44"/>
          <w:szCs w:val="44"/>
        </w:rPr>
        <w:t xml:space="preserve">One Repl, two processes,</w:t>
      </w:r>
      <w:r>
        <w:rPr>
          <w:rFonts w:ascii="Georgia" w:cs="Georgia" w:eastAsia="Georgia" w:hAnsi="Georgia"/>
          <w:i/>
          <w:iCs/>
          <w:color w:val="B8893C"/>
          <w:sz w:val="44"/>
          <w:szCs w:val="44"/>
        </w:rPr>
        <w:t xml:space="preserve"> one origin.</w:t>
      </w:r>
    </w:p>
    <w:p>
      <w:pPr>
        <w:spacing w:after="180" w:before="80" w:line="320"/>
      </w:pPr>
      <w:r>
        <w:rPr>
          <w:rFonts w:ascii="Georgia" w:cs="Georgia" w:eastAsia="Georgia" w:hAnsi="Georgia"/>
          <w:i/>
          <w:iCs/>
          <w:color w:val="5C5A55"/>
          <w:sz w:val="22"/>
          <w:szCs w:val="22"/>
        </w:rPr>
        <w:t xml:space="preserve">The decision that collapses CORS, secret management, deployment, and the auth question into a single answer. The backend serves the built frontend as static assets in production; the frontend calls relative /api/v1 paths. Zero cross-origin surface.</w:t>
      </w:r>
    </w:p>
    <w:p>
      <w:pPr>
        <w:spacing w:after="60" w:before="160"/>
      </w:pPr>
      <w:r>
        <w:rPr>
          <w:rFonts w:ascii="Consolas" w:cs="Consolas" w:eastAsia="Consolas" w:hAnsi="Consolas"/>
          <w:b/>
          <w:bCs/>
          <w:color w:val="B8893C"/>
          <w:spacing w:val="30"/>
          <w:sz w:val="16"/>
          <w:szCs w:val="16"/>
        </w:rPr>
        <w:t xml:space="preserve">IDENTITY SEPARATION — PRESERVED ACROSS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ENTITY</w:t>
            </w:r>
          </w:p>
        </w:tc>
        <w:tc>
          <w:tcPr>
            <w:tcW w:type="dxa" w:w="24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ROLE</w:t>
            </w:r>
          </w:p>
        </w:tc>
        <w:tc>
          <w:tcPr>
            <w:tcW w:type="dxa" w:w="51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SCOPE</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SiriusB iQ</w:t>
            </w:r>
          </w:p>
        </w:tc>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Engine company</w:t>
            </w:r>
          </w:p>
        </w:tc>
        <w:tc>
          <w:tcPr>
            <w:tcW w:type="dxa" w:w="51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Deterministic computation substrate. The 4 primitives, the 7-gate chain, the Evidence Spine. Industry-agnostic.</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Kincaid iQ</w:t>
            </w:r>
          </w:p>
        </w:tc>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Healthcare application</w:t>
            </w:r>
          </w:p>
        </w:tc>
        <w:tc>
          <w:tcPr>
            <w:tcW w:type="dxa" w:w="51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First deployment of the SiriusB engine. Domain schema, benchmarks, contract clause library.</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Kincaid RMC</w:t>
            </w:r>
          </w:p>
        </w:tc>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Advisory practice</w:t>
            </w:r>
          </w:p>
        </w:tc>
        <w:tc>
          <w:tcPr>
            <w:tcW w:type="dxa" w:w="51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Distribution channel. Out of scope for this build.</w:t>
            </w:r>
          </w:p>
        </w:tc>
      </w:tr>
    </w:tbl>
    <w:p>
      <w:pPr>
        <w:spacing w:after="60" w:before="160"/>
      </w:pPr>
      <w:r>
        <w:rPr>
          <w:rFonts w:ascii="Consolas" w:cs="Consolas" w:eastAsia="Consolas" w:hAnsi="Consolas"/>
          <w:b/>
          <w:bCs/>
          <w:color w:val="B8893C"/>
          <w:spacing w:val="30"/>
          <w:sz w:val="16"/>
          <w:szCs w:val="16"/>
        </w:rPr>
        <w:t xml:space="preserve">REPOSITORY LAYOUT</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backend/                  # FastAPI, Python 3.11+</w:t>
            </w:r>
          </w:p>
          <w:p>
            <w:pPr>
              <w:spacing w:after="0" w:before="0" w:line="260"/>
            </w:pPr>
            <w:r>
              <w:rPr>
                <w:rFonts w:ascii="Consolas" w:cs="Consolas" w:eastAsia="Consolas" w:hAnsi="Consolas"/>
                <w:color w:val="2A2A35"/>
                <w:sz w:val="18"/>
                <w:szCs w:val="18"/>
              </w:rPr>
              <w:t xml:space="preserve">│   ├── app/</w:t>
            </w:r>
          </w:p>
          <w:p>
            <w:pPr>
              <w:spacing w:after="0" w:before="0" w:line="260"/>
            </w:pPr>
            <w:r>
              <w:rPr>
                <w:rFonts w:ascii="Consolas" w:cs="Consolas" w:eastAsia="Consolas" w:hAnsi="Consolas"/>
                <w:color w:val="2A2A35"/>
                <w:sz w:val="18"/>
                <w:szCs w:val="18"/>
              </w:rPr>
              <w:t xml:space="preserve">│   │   ├── main.py            # Entrypoint, mounts /api/v1</w:t>
            </w:r>
          </w:p>
          <w:p>
            <w:pPr>
              <w:spacing w:after="0" w:before="0" w:line="260"/>
            </w:pPr>
            <w:r>
              <w:rPr>
                <w:rFonts w:ascii="Consolas" w:cs="Consolas" w:eastAsia="Consolas" w:hAnsi="Consolas"/>
                <w:color w:val="2A2A35"/>
                <w:sz w:val="18"/>
                <w:szCs w:val="18"/>
              </w:rPr>
              <w:t xml:space="preserve">│   │   ├── auth.py            # Bearer token dependency</w:t>
            </w:r>
          </w:p>
          <w:p>
            <w:pPr>
              <w:spacing w:after="0" w:before="0" w:line="260"/>
            </w:pPr>
            <w:r>
              <w:rPr>
                <w:rFonts w:ascii="Consolas" w:cs="Consolas" w:eastAsia="Consolas" w:hAnsi="Consolas"/>
                <w:color w:val="2A2A35"/>
                <w:sz w:val="18"/>
                <w:szCs w:val="18"/>
              </w:rPr>
              <w:t xml:space="preserve">│   │   ├── primitives/        # EvidenceRef, TransformRef, PolicyResult, Claim</w:t>
            </w:r>
          </w:p>
          <w:p>
            <w:pPr>
              <w:spacing w:after="0" w:before="0" w:line="260"/>
            </w:pPr>
            <w:r>
              <w:rPr>
                <w:rFonts w:ascii="Consolas" w:cs="Consolas" w:eastAsia="Consolas" w:hAnsi="Consolas"/>
                <w:color w:val="2A2A35"/>
                <w:sz w:val="18"/>
                <w:szCs w:val="18"/>
              </w:rPr>
              <w:t xml:space="preserve">│   │   ├── gates/             # 7-Gate Chain</w:t>
            </w:r>
          </w:p>
          <w:p>
            <w:pPr>
              <w:spacing w:after="0" w:before="0" w:line="260"/>
            </w:pPr>
            <w:r>
              <w:rPr>
                <w:rFonts w:ascii="Consolas" w:cs="Consolas" w:eastAsia="Consolas" w:hAnsi="Consolas"/>
                <w:color w:val="2A2A35"/>
                <w:sz w:val="18"/>
                <w:szCs w:val="18"/>
              </w:rPr>
              <w:t xml:space="preserve">│   │   ├── spine/             # Evidence Spine — SHA-256, append-only</w:t>
            </w:r>
          </w:p>
          <w:p>
            <w:pPr>
              <w:spacing w:after="0" w:before="0" w:line="260"/>
            </w:pPr>
            <w:r>
              <w:rPr>
                <w:rFonts w:ascii="Consolas" w:cs="Consolas" w:eastAsia="Consolas" w:hAnsi="Consolas"/>
                <w:color w:val="2A2A35"/>
                <w:sz w:val="18"/>
                <w:szCs w:val="18"/>
              </w:rPr>
              <w:t xml:space="preserve">│   │   ├── engines/           # PEPM, DRAP, PBM Waste, SBI, GLP-1, EBITDA</w:t>
            </w:r>
          </w:p>
          <w:p>
            <w:pPr>
              <w:spacing w:after="0" w:before="0" w:line="260"/>
            </w:pPr>
            <w:r>
              <w:rPr>
                <w:rFonts w:ascii="Consolas" w:cs="Consolas" w:eastAsia="Consolas" w:hAnsi="Consolas"/>
                <w:color w:val="2A2A35"/>
                <w:sz w:val="18"/>
                <w:szCs w:val="18"/>
              </w:rPr>
              <w:t xml:space="preserve">│   │   ├── routes/            # /api/v1/*</w:t>
            </w:r>
          </w:p>
          <w:p>
            <w:pPr>
              <w:spacing w:after="0" w:before="0" w:line="260"/>
            </w:pPr>
            <w:r>
              <w:rPr>
                <w:rFonts w:ascii="Consolas" w:cs="Consolas" w:eastAsia="Consolas" w:hAnsi="Consolas"/>
                <w:color w:val="2A2A35"/>
                <w:sz w:val="18"/>
                <w:szCs w:val="18"/>
              </w:rPr>
              <w:t xml:space="preserve">│   │   └── confidence.py      # CERTIFIED | MODELED | INSUFFICIENT_EVIDENCE</w:t>
            </w:r>
          </w:p>
          <w:p>
            <w:pPr>
              <w:spacing w:after="0" w:before="0" w:line="260"/>
            </w:pPr>
            <w:r>
              <w:rPr>
                <w:rFonts w:ascii="Consolas" w:cs="Consolas" w:eastAsia="Consolas" w:hAnsi="Consolas"/>
                <w:color w:val="2A2A35"/>
                <w:sz w:val="18"/>
                <w:szCs w:val="18"/>
              </w:rPr>
              <w:t xml:space="preserve">│   ├── tests/                 # pytest — contract tests per gate</w:t>
            </w:r>
          </w:p>
          <w:p>
            <w:pPr>
              <w:spacing w:after="0" w:before="0" w:line="260"/>
            </w:pPr>
            <w:r>
              <w:rPr>
                <w:rFonts w:ascii="Consolas" w:cs="Consolas" w:eastAsia="Consolas" w:hAnsi="Consolas"/>
                <w:color w:val="2A2A35"/>
                <w:sz w:val="18"/>
                <w:szCs w:val="18"/>
              </w:rPr>
              <w:t xml:space="preserve">│   └── alembic/               # Postgres migrations</w:t>
            </w:r>
          </w:p>
          <w:p>
            <w:pPr>
              <w:spacing w:after="0" w:before="0" w:line="260"/>
            </w:pPr>
            <w:r>
              <w:rPr>
                <w:rFonts w:ascii="Consolas" w:cs="Consolas" w:eastAsia="Consolas" w:hAnsi="Consolas"/>
                <w:color w:val="2A2A35"/>
                <w:sz w:val="18"/>
                <w:szCs w:val="18"/>
              </w:rPr>
              <w:t xml:space="preserve">├── frontend/                 # Vite + React + TypeScript</w:t>
            </w:r>
          </w:p>
          <w:p>
            <w:pPr>
              <w:spacing w:after="0" w:before="0" w:line="260"/>
            </w:pPr>
            <w:r>
              <w:rPr>
                <w:rFonts w:ascii="Consolas" w:cs="Consolas" w:eastAsia="Consolas" w:hAnsi="Consolas"/>
                <w:color w:val="2A2A35"/>
                <w:sz w:val="18"/>
                <w:szCs w:val="18"/>
              </w:rPr>
              <w:t xml:space="preserve">│   └── src/</w:t>
            </w:r>
          </w:p>
          <w:p>
            <w:pPr>
              <w:spacing w:after="0" w:before="0" w:line="260"/>
            </w:pPr>
            <w:r>
              <w:rPr>
                <w:rFonts w:ascii="Consolas" w:cs="Consolas" w:eastAsia="Consolas" w:hAnsi="Consolas"/>
                <w:color w:val="2A2A35"/>
                <w:sz w:val="18"/>
                <w:szCs w:val="18"/>
              </w:rPr>
              <w:t xml:space="preserve">│       ├── components/        # FourTileSurface, Receipt, ConfidenceChip, FPS</w:t>
            </w:r>
          </w:p>
          <w:p>
            <w:pPr>
              <w:spacing w:after="0" w:before="0" w:line="260"/>
            </w:pPr>
            <w:r>
              <w:rPr>
                <w:rFonts w:ascii="Consolas" w:cs="Consolas" w:eastAsia="Consolas" w:hAnsi="Consolas"/>
                <w:color w:val="2A2A35"/>
                <w:sz w:val="18"/>
                <w:szCs w:val="18"/>
              </w:rPr>
              <w:t xml:space="preserve">│       ├── lib/api.ts         # Single fetch wrapper</w:t>
            </w:r>
          </w:p>
          <w:p>
            <w:pPr>
              <w:spacing w:after="0" w:before="0" w:line="260"/>
            </w:pPr>
            <w:r>
              <w:rPr>
                <w:rFonts w:ascii="Consolas" w:cs="Consolas" w:eastAsia="Consolas" w:hAnsi="Consolas"/>
                <w:color w:val="2A2A35"/>
                <w:sz w:val="18"/>
                <w:szCs w:val="18"/>
              </w:rPr>
              <w:t xml:space="preserve">│       └── styles/            # Glassmorphic design system</w:t>
            </w:r>
          </w:p>
          <w:p>
            <w:pPr>
              <w:spacing w:after="0" w:before="0" w:line="260"/>
            </w:pPr>
            <w:r>
              <w:rPr>
                <w:rFonts w:ascii="Consolas" w:cs="Consolas" w:eastAsia="Consolas" w:hAnsi="Consolas"/>
                <w:color w:val="2A2A35"/>
                <w:sz w:val="18"/>
                <w:szCs w:val="18"/>
              </w:rPr>
              <w:t xml:space="preserve">├── .replit</w:t>
            </w:r>
          </w:p>
          <w:p>
            <w:pPr>
              <w:spacing w:after="0" w:before="0" w:line="260"/>
            </w:pPr>
            <w:r>
              <w:rPr>
                <w:rFonts w:ascii="Consolas" w:cs="Consolas" w:eastAsia="Consolas" w:hAnsi="Consolas"/>
                <w:color w:val="2A2A35"/>
                <w:sz w:val="18"/>
                <w:szCs w:val="18"/>
              </w:rPr>
              <w:t xml:space="preserve">├── replit.nix</w:t>
            </w:r>
          </w:p>
          <w:p>
            <w:pPr>
              <w:spacing w:after="0" w:before="0" w:line="260"/>
            </w:pPr>
            <w:r>
              <w:rPr>
                <w:rFonts w:ascii="Consolas" w:cs="Consolas" w:eastAsia="Consolas" w:hAnsi="Consolas"/>
                <w:color w:val="2A2A35"/>
                <w:sz w:val="18"/>
                <w:szCs w:val="18"/>
              </w:rPr>
              <w:t xml:space="preserve">└── run.sh</w:t>
            </w:r>
          </w:p>
        </w:tc>
      </w:tr>
    </w:tbl>
    <w:p>
      <w:pPr>
        <w:spacing w:after="60" w:before="160"/>
      </w:pPr>
      <w:r>
        <w:rPr>
          <w:rFonts w:ascii="Consolas" w:cs="Consolas" w:eastAsia="Consolas" w:hAnsi="Consolas"/>
          <w:b/>
          <w:bCs/>
          <w:color w:val="B8893C"/>
          <w:spacing w:val="30"/>
          <w:sz w:val="16"/>
          <w:szCs w:val="16"/>
        </w:rPr>
        <w:t xml:space="preserve">REPLIT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W w:type="dxa" w:w="28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KEY</w:t>
            </w:r>
          </w:p>
        </w:tc>
        <w:tc>
          <w:tcPr>
            <w:tcW w:type="dxa" w:w="29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PURPOSE</w:t>
            </w:r>
          </w:p>
        </w:tc>
        <w:tc>
          <w:tcPr>
            <w:tcW w:type="dxa" w:w="36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HOW TO GENERATE</w:t>
            </w:r>
          </w:p>
        </w:tc>
      </w:tr>
      <w:tr>
        <w:tc>
          <w:tcPr>
            <w:tcW w:type="dxa" w:w="2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KINCAID_API_TOKEN</w:t>
            </w:r>
          </w:p>
        </w:tc>
        <w:tc>
          <w:tcPr>
            <w:tcW w:type="dxa" w:w="29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Bearer for /api/v1/*</w:t>
            </w:r>
          </w:p>
        </w:tc>
        <w:tc>
          <w:tcPr>
            <w:tcW w:type="dxa" w:w="36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python -c "import secrets; print(secrets.token_urlsafe(32))"</w:t>
            </w:r>
          </w:p>
        </w:tc>
      </w:tr>
      <w:tr>
        <w:tc>
          <w:tcPr>
            <w:tcW w:type="dxa" w:w="2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DATABASE_URL</w:t>
            </w:r>
          </w:p>
        </w:tc>
        <w:tc>
          <w:tcPr>
            <w:tcW w:type="dxa" w:w="29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Postgres connection</w:t>
            </w:r>
          </w:p>
        </w:tc>
        <w:tc>
          <w:tcPr>
            <w:tcW w:type="dxa" w:w="36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Replit DB or external</w:t>
            </w:r>
          </w:p>
        </w:tc>
      </w:tr>
      <w:tr>
        <w:tc>
          <w:tcPr>
            <w:tcW w:type="dxa" w:w="2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EVIDENCE_SPINE_SALT</w:t>
            </w:r>
          </w:p>
        </w:tc>
        <w:tc>
          <w:tcPr>
            <w:tcW w:type="dxa" w:w="29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SHA-256 content-address salt</w:t>
            </w:r>
          </w:p>
        </w:tc>
        <w:tc>
          <w:tcPr>
            <w:tcW w:type="dxa" w:w="36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secrets.token_hex(32)</w:t>
            </w:r>
          </w:p>
        </w:tc>
      </w:tr>
    </w:tbl>
    <w:p>
      <w:r>
        <w:br w:type="page"/>
      </w:r>
    </w:p>
    <w:p>
      <w:pPr>
        <w:spacing w:after="60" w:before="240"/>
      </w:pPr>
      <w:r>
        <w:rPr>
          <w:rFonts w:ascii="Consolas" w:cs="Consolas" w:eastAsia="Consolas" w:hAnsi="Consolas"/>
          <w:b/>
          <w:bCs/>
          <w:color w:val="B8893C"/>
          <w:spacing w:val="40"/>
          <w:sz w:val="16"/>
          <w:szCs w:val="16"/>
        </w:rPr>
        <w:t xml:space="preserve">§ 2  ·  THE FOUR CORE PRIMITIVES</w:t>
      </w:r>
    </w:p>
    <w:p>
      <w:pPr>
        <w:spacing w:after="120" w:before="240" w:line="320"/>
      </w:pPr>
      <w:r>
        <w:rPr>
          <w:rFonts w:ascii="Georgia" w:cs="Georgia" w:eastAsia="Georgia" w:hAnsi="Georgia"/>
          <w:color w:val="1A1820"/>
          <w:sz w:val="44"/>
          <w:szCs w:val="44"/>
        </w:rPr>
        <w:t xml:space="preserve">Constitutional</w:t>
      </w:r>
      <w:r>
        <w:rPr>
          <w:rFonts w:ascii="Georgia" w:cs="Georgia" w:eastAsia="Georgia" w:hAnsi="Georgia"/>
          <w:i/>
          <w:iCs/>
          <w:color w:val="B8893C"/>
          <w:sz w:val="44"/>
          <w:szCs w:val="44"/>
        </w:rPr>
        <w:t xml:space="preserve"> first-class objects.</w:t>
      </w:r>
    </w:p>
    <w:p>
      <w:pPr>
        <w:spacing w:after="180" w:before="80" w:line="320"/>
      </w:pPr>
      <w:r>
        <w:rPr>
          <w:rFonts w:ascii="Georgia" w:cs="Georgia" w:eastAsia="Georgia" w:hAnsi="Georgia"/>
          <w:i/>
          <w:iCs/>
          <w:color w:val="5C5A55"/>
          <w:sz w:val="22"/>
          <w:szCs w:val="22"/>
        </w:rPr>
        <w:t xml:space="preserve">Pydantic v2, frozen. A field is not "typed after import"; it is typed as a precondition of being a field. Mutation attempts must raise. The primitives are the substrate — every gate, engine, and endpoint operates on these and only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PRIMITIVE</w:t>
            </w:r>
          </w:p>
        </w:tc>
        <w:tc>
          <w:tcPr>
            <w:tcW w:type="dxa" w:w="26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PURPOSE</w:t>
            </w:r>
          </w:p>
        </w:tc>
        <w:tc>
          <w:tcPr>
            <w:tcW w:type="dxa" w:w="49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CRITICAL FIELDS</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EvidenceRef</w:t>
            </w:r>
          </w:p>
        </w:tc>
        <w:tc>
          <w:tcPr>
            <w:tcW w:type="dxa" w:w="2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Content-addressed evidence pointer</w:t>
            </w:r>
          </w:p>
        </w:tc>
        <w:tc>
          <w:tcPr>
            <w:tcW w:type="dxa" w:w="4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evidence_id · source_hash (SHA-256) · vintage_year · parent_evidence_id</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TransformRef</w:t>
            </w:r>
          </w:p>
        </w:tc>
        <w:tc>
          <w:tcPr>
            <w:tcW w:type="dxa" w:w="2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Versioned computation pointer</w:t>
            </w:r>
          </w:p>
        </w:tc>
        <w:tc>
          <w:tcPr>
            <w:tcW w:type="dxa" w:w="4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code_hash · input_evidence_ids · output_hash · superseded_by</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PolicyResult</w:t>
            </w:r>
          </w:p>
        </w:tc>
        <w:tc>
          <w:tcPr>
            <w:tcW w:type="dxa" w:w="2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Gate verdict</w:t>
            </w:r>
          </w:p>
        </w:tc>
        <w:tc>
          <w:tcPr>
            <w:tcW w:type="dxa" w:w="4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verdict (PASS/FAIL/WAIVED) · gate · rationale · citation</w:t>
            </w:r>
          </w:p>
        </w:tc>
      </w:tr>
      <w:tr>
        <w:tc>
          <w:tcPr>
            <w:tcW w:type="dxa" w:w="18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1A1820"/>
                <w:sz w:val="20"/>
                <w:szCs w:val="20"/>
              </w:rPr>
              <w:t xml:space="preserve">Claim</w:t>
            </w:r>
          </w:p>
        </w:tc>
        <w:tc>
          <w:tcPr>
            <w:tcW w:type="dxa" w:w="2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Atomic financial record</w:t>
            </w:r>
          </w:p>
        </w:tc>
        <w:tc>
          <w:tcPr>
            <w:tcW w:type="dxa" w:w="4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paid_amount · allowed_amount · ndc/cpt · evidence_id · member_id_hash</w:t>
            </w:r>
          </w:p>
        </w:tc>
      </w:tr>
    </w:tbl>
    <w:p>
      <w:pPr>
        <w:spacing w:after="120" w:before="0"/>
      </w:pPr>
      <w:r>
        <w:t xml:space="preserve"/>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DESIGN PROPERTY</w:t>
            </w:r>
          </w:p>
          <w:p>
            <w:pPr>
              <w:spacing w:after="0" w:before="0" w:line="320"/>
            </w:pPr>
            <w:r>
              <w:rPr>
                <w:rFonts w:ascii="Georgia" w:cs="Georgia" w:eastAsia="Georgia" w:hAnsi="Georgia"/>
                <w:i/>
                <w:iCs/>
                <w:color w:val="1A1820"/>
                <w:sz w:val="22"/>
                <w:szCs w:val="22"/>
              </w:rPr>
              <w:t xml:space="preserve">A TransformRef is never mutated. Refinements create a new TransformRef with superseded_by set on the prior version. This is the constitutional alternative to Power Query’s "Insert Step After" — full lineage, no in-place mutation, every refinement auditable.</w:t>
            </w:r>
          </w:p>
        </w:tc>
      </w:tr>
    </w:tbl>
    <w:p>
      <w:r>
        <w:br w:type="page"/>
      </w:r>
    </w:p>
    <w:p>
      <w:pPr>
        <w:spacing w:after="60" w:before="240"/>
      </w:pPr>
      <w:r>
        <w:rPr>
          <w:rFonts w:ascii="Consolas" w:cs="Consolas" w:eastAsia="Consolas" w:hAnsi="Consolas"/>
          <w:b/>
          <w:bCs/>
          <w:color w:val="B8893C"/>
          <w:spacing w:val="40"/>
          <w:sz w:val="16"/>
          <w:szCs w:val="16"/>
        </w:rPr>
        <w:t xml:space="preserve">§ 3  ·  THE 7-GATE ENFORCEMENT CHAIN</w:t>
      </w:r>
    </w:p>
    <w:p>
      <w:pPr>
        <w:spacing w:after="120" w:before="240" w:line="320"/>
      </w:pPr>
      <w:r>
        <w:rPr>
          <w:rFonts w:ascii="Georgia" w:cs="Georgia" w:eastAsia="Georgia" w:hAnsi="Georgia"/>
          <w:color w:val="1A1820"/>
          <w:sz w:val="44"/>
          <w:szCs w:val="44"/>
        </w:rPr>
        <w:t xml:space="preserve">Sequential.</w:t>
      </w:r>
      <w:r>
        <w:rPr>
          <w:rFonts w:ascii="Georgia" w:cs="Georgia" w:eastAsia="Georgia" w:hAnsi="Georgia"/>
          <w:i/>
          <w:iCs/>
          <w:color w:val="B8893C"/>
          <w:sz w:val="44"/>
          <w:szCs w:val="44"/>
        </w:rPr>
        <w:t xml:space="preserve"> Halt-on-fail.</w:t>
      </w:r>
    </w:p>
    <w:p>
      <w:pPr>
        <w:spacing w:after="180" w:before="80" w:line="320"/>
      </w:pPr>
      <w:r>
        <w:rPr>
          <w:rFonts w:ascii="Georgia" w:cs="Georgia" w:eastAsia="Georgia" w:hAnsi="Georgia"/>
          <w:i/>
          <w:iCs/>
          <w:color w:val="5C5A55"/>
          <w:sz w:val="22"/>
          <w:szCs w:val="22"/>
        </w:rPr>
        <w:t xml:space="preserve">No artifact reaches a board-facing surface without passing all seven gates in order. Each gate exposes a single typed function. A failing gate raises GateFailure(gate, error_code, rationale).</w:t>
      </w:r>
    </w:p>
    <w:p>
      <w:pPr>
        <w:spacing w:after="120" w:before="120"/>
        <w:jc w:val="center"/>
      </w:pPr>
      <w:r>
        <w:rPr>
          <w:rFonts w:ascii="Consolas" w:cs="Consolas" w:eastAsia="Consolas" w:hAnsi="Consolas"/>
          <w:b/>
          <w:bCs/>
          <w:color w:val="B8893C"/>
          <w:spacing w:val="30"/>
          <w:sz w:val="18"/>
          <w:szCs w:val="18"/>
        </w:rPr>
        <w:t xml:space="preserve">DEFINE  →  WIRE  →  VALIDATE  →  PROMOTE  →  COMPUTE  →  GATE  →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GATE</w:t>
            </w:r>
          </w:p>
        </w:tc>
        <w:tc>
          <w:tcPr>
            <w:tcW w:type="dxa" w:w="36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PURPOSE</w:t>
            </w:r>
          </w:p>
        </w:tc>
        <w:tc>
          <w:tcPr>
            <w:tcW w:type="dxa" w:w="43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CANONICAL FAILURE MODE</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DEFINE</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Schema and policy registration</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SCHEMA_NOT_REGISTERED</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WIRE</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Source-to-primitive binding, content hash</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HASH_MISMATCH · SOURCE_UNREACHABLE</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VALIDATE</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Type, range, completeness, vintage</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TYPE_VIOLATION · COMPLETENESS_BREACH</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PROMOTE</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Admit to Evidence Spine — sealed, append-only</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SPINE_SEAL_FAILURE</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COMPUTE</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Deterministic TransformRef execution</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NONDETERMINISTIC_OUTPUT · EVIDENCE_STALE</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GATE</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PolicyResult adjudication, confidence assigned</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POLICY_FAIL · INSUFFICIENT_EVIDENCE</w:t>
            </w:r>
          </w:p>
        </w:tc>
      </w:tr>
      <w:tr>
        <w:tc>
          <w:tcPr>
            <w:tcW w:type="dxa" w:w="1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RENDER</w:t>
            </w:r>
          </w:p>
        </w:tc>
        <w:tc>
          <w:tcPr>
            <w:tcW w:type="dxa" w:w="3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Materialize to UI or export + manifest</w:t>
            </w:r>
          </w:p>
        </w:tc>
        <w:tc>
          <w:tcPr>
            <w:tcW w:type="dxa" w:w="4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A93939"/>
                <w:sz w:val="18"/>
                <w:szCs w:val="18"/>
              </w:rPr>
              <w:t xml:space="preserve">MANIFEST_INCOMPLETE · UNATTRIBUTED_NUMBER</w:t>
            </w:r>
          </w:p>
        </w:tc>
      </w:tr>
    </w:tbl>
    <w:p>
      <w:r>
        <w:br w:type="page"/>
      </w:r>
    </w:p>
    <w:p>
      <w:pPr>
        <w:spacing w:after="60" w:before="240"/>
      </w:pPr>
      <w:r>
        <w:rPr>
          <w:rFonts w:ascii="Consolas" w:cs="Consolas" w:eastAsia="Consolas" w:hAnsi="Consolas"/>
          <w:b/>
          <w:bCs/>
          <w:color w:val="B8893C"/>
          <w:spacing w:val="40"/>
          <w:sz w:val="16"/>
          <w:szCs w:val="16"/>
        </w:rPr>
        <w:t xml:space="preserve">§ 4  ·  CONFIDENCE TIERING</w:t>
      </w:r>
    </w:p>
    <w:p>
      <w:pPr>
        <w:spacing w:after="120" w:before="240" w:line="320"/>
      </w:pPr>
      <w:r>
        <w:rPr>
          <w:rFonts w:ascii="Georgia" w:cs="Georgia" w:eastAsia="Georgia" w:hAnsi="Georgia"/>
          <w:color w:val="1A1820"/>
          <w:sz w:val="44"/>
          <w:szCs w:val="44"/>
        </w:rPr>
        <w:t xml:space="preserve">Three labels.</w:t>
      </w:r>
      <w:r>
        <w:rPr>
          <w:rFonts w:ascii="Georgia" w:cs="Georgia" w:eastAsia="Georgia" w:hAnsi="Georgia"/>
          <w:i/>
          <w:iCs/>
          <w:color w:val="B8893C"/>
          <w:sz w:val="44"/>
          <w:szCs w:val="44"/>
        </w:rPr>
        <w:t xml:space="preserve"> No fourth.</w:t>
      </w:r>
    </w:p>
    <w:p>
      <w:pPr>
        <w:spacing w:after="180" w:before="80" w:line="320"/>
      </w:pPr>
      <w:r>
        <w:rPr>
          <w:rFonts w:ascii="Georgia" w:cs="Georgia" w:eastAsia="Georgia" w:hAnsi="Georgia"/>
          <w:i/>
          <w:iCs/>
          <w:color w:val="5C5A55"/>
          <w:sz w:val="22"/>
          <w:szCs w:val="22"/>
        </w:rPr>
        <w:t xml:space="preserve">Every finding is labeled with exactly one tier. The tier governs whether the finding can render to a board-facing surface. The absence of a number is itself an evidence-integrity signal — not a gap to be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TIER</w:t>
            </w:r>
          </w:p>
        </w:tc>
        <w:tc>
          <w:tcPr>
            <w:tcW w:type="dxa" w:w="53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REQUIREMENT</w:t>
            </w:r>
          </w:p>
        </w:tc>
        <w:tc>
          <w:tcPr>
            <w:tcW w:type="dxa" w:w="24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BOARD-FACING?</w:t>
            </w:r>
          </w:p>
        </w:tc>
      </w:tr>
      <w:tr>
        <w:tc>
          <w:tcPr>
            <w:tcW w:type="dxa" w:w="1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2D7F4F"/>
                <w:sz w:val="18"/>
                <w:szCs w:val="18"/>
              </w:rPr>
              <w:t xml:space="preserve">CERTIFIED</w:t>
            </w:r>
          </w:p>
        </w:tc>
        <w:tc>
          <w:tcPr>
            <w:tcW w:type="dxa" w:w="5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Direct evidence: contract clause + claim record + remittance, all present and reconciled.</w:t>
            </w:r>
          </w:p>
        </w:tc>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2D7F4F"/>
                <w:sz w:val="20"/>
                <w:szCs w:val="20"/>
              </w:rPr>
              <w:t xml:space="preserve">YES (emerald chip)</w:t>
            </w:r>
          </w:p>
        </w:tc>
      </w:tr>
      <w:tr>
        <w:tc>
          <w:tcPr>
            <w:tcW w:type="dxa" w:w="1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B8762B"/>
                <w:sz w:val="18"/>
                <w:szCs w:val="18"/>
              </w:rPr>
              <w:t xml:space="preserve">MODELED</w:t>
            </w:r>
          </w:p>
        </w:tc>
        <w:tc>
          <w:tcPr>
            <w:tcW w:type="dxa" w:w="5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Inference from incomplete evidence. Uncertainty bounds disclosed.</w:t>
            </w:r>
          </w:p>
        </w:tc>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B8762B"/>
                <w:sz w:val="20"/>
                <w:szCs w:val="20"/>
              </w:rPr>
              <w:t xml:space="preserve">YES (amber chip)</w:t>
            </w:r>
          </w:p>
        </w:tc>
      </w:tr>
      <w:tr>
        <w:tc>
          <w:tcPr>
            <w:tcW w:type="dxa" w:w="16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INSUFFICIENT</w:t>
            </w:r>
          </w:p>
        </w:tc>
        <w:tc>
          <w:tcPr>
            <w:tcW w:type="dxa" w:w="5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Missing data. No finding issued. Logged as Tile-4 gap finding.</w:t>
            </w:r>
          </w:p>
        </w:tc>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bCs/>
                <w:color w:val="A93939"/>
                <w:sz w:val="20"/>
                <w:szCs w:val="20"/>
              </w:rPr>
              <w:t xml:space="preserve">NO — gap only</w:t>
            </w:r>
          </w:p>
        </w:tc>
      </w:tr>
    </w:tbl>
    <w:p>
      <w:r>
        <w:br w:type="page"/>
      </w:r>
    </w:p>
    <w:p>
      <w:pPr>
        <w:spacing w:after="60" w:before="240"/>
      </w:pPr>
      <w:r>
        <w:rPr>
          <w:rFonts w:ascii="Consolas" w:cs="Consolas" w:eastAsia="Consolas" w:hAnsi="Consolas"/>
          <w:b/>
          <w:bCs/>
          <w:color w:val="B8893C"/>
          <w:spacing w:val="40"/>
          <w:sz w:val="16"/>
          <w:szCs w:val="16"/>
        </w:rPr>
        <w:t xml:space="preserve">§ 5  ·  THE COMPUTATIONAL ENGINES</w:t>
      </w:r>
    </w:p>
    <w:p>
      <w:pPr>
        <w:spacing w:after="120" w:before="240" w:line="320"/>
      </w:pPr>
      <w:r>
        <w:rPr>
          <w:rFonts w:ascii="Georgia" w:cs="Georgia" w:eastAsia="Georgia" w:hAnsi="Georgia"/>
          <w:color w:val="1A1820"/>
          <w:sz w:val="44"/>
          <w:szCs w:val="44"/>
        </w:rPr>
        <w:t xml:space="preserve">Pure functions.</w:t>
      </w:r>
      <w:r>
        <w:rPr>
          <w:rFonts w:ascii="Georgia" w:cs="Georgia" w:eastAsia="Georgia" w:hAnsi="Georgia"/>
          <w:i/>
          <w:iCs/>
          <w:color w:val="B8893C"/>
          <w:sz w:val="44"/>
          <w:szCs w:val="44"/>
        </w:rPr>
        <w:t xml:space="preserve"> Deterministic outputs.</w:t>
      </w:r>
    </w:p>
    <w:p>
      <w:pPr>
        <w:spacing w:after="180" w:before="80" w:line="320"/>
      </w:pPr>
      <w:r>
        <w:rPr>
          <w:rFonts w:ascii="Georgia" w:cs="Georgia" w:eastAsia="Georgia" w:hAnsi="Georgia"/>
          <w:i/>
          <w:iCs/>
          <w:color w:val="5C5A55"/>
          <w:sz w:val="22"/>
          <w:szCs w:val="22"/>
        </w:rPr>
        <w:t xml:space="preserve">Each engine consumes promoted evidence and returns a typed result with a confidence tier. Same inputs, same outputs, always. Determinism is asserted in unit tests via output-hash equality across runs.</w:t>
      </w:r>
    </w:p>
    <w:p>
      <w:pPr>
        <w:spacing w:after="100" w:before="200"/>
      </w:pPr>
      <w:r>
        <w:rPr>
          <w:rFonts w:ascii="Georgia" w:cs="Georgia" w:eastAsia="Georgia" w:hAnsi="Georgia"/>
          <w:color w:val="1A1820"/>
          <w:sz w:val="28"/>
          <w:szCs w:val="28"/>
        </w:rPr>
        <w:t xml:space="preserve">5.1  PEPM Engine — the anchor variable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def compute_pepm(claims: list[Claim], member_months: int) -&gt; PEPMResult:</w:t>
            </w:r>
          </w:p>
          <w:p>
            <w:pPr>
              <w:spacing w:after="0" w:before="0" w:line="260"/>
            </w:pPr>
            <w:r>
              <w:rPr>
                <w:rFonts w:ascii="Consolas" w:cs="Consolas" w:eastAsia="Consolas" w:hAnsi="Consolas"/>
                <w:color w:val="2A2A35"/>
                <w:sz w:val="18"/>
                <w:szCs w:val="18"/>
              </w:rPr>
              <w:t xml:space="preserve">    # PEPM = total_paid / member_months</w:t>
            </w:r>
          </w:p>
          <w:p>
            <w:pPr>
              <w:spacing w:after="0" w:before="0" w:line="260"/>
            </w:pPr>
            <w:r>
              <w:rPr>
                <w:rFonts w:ascii="Consolas" w:cs="Consolas" w:eastAsia="Consolas" w:hAnsi="Consolas"/>
                <w:color w:val="2A2A35"/>
                <w:sz w:val="18"/>
                <w:szCs w:val="18"/>
              </w:rPr>
              <w:t xml:space="preserve">    # Trend-adjusted, exposure-adjusted, credibility-weighted (Bühlmann-Straub)</w:t>
            </w:r>
          </w:p>
          <w:p>
            <w:pPr>
              <w:spacing w:after="0" w:before="0" w:line="260"/>
            </w:pPr>
            <w:r>
              <w:rPr>
                <w:rFonts w:ascii="Consolas" w:cs="Consolas" w:eastAsia="Consolas" w:hAnsi="Consolas"/>
                <w:color w:val="2A2A35"/>
                <w:sz w:val="18"/>
                <w:szCs w:val="18"/>
              </w:rPr>
              <w:t xml:space="preserve">    # Member-month denominator hardened via eligibility audit-diff engine</w:t>
            </w:r>
          </w:p>
        </w:tc>
      </w:tr>
    </w:tbl>
    <w:p>
      <w:pPr>
        <w:spacing w:after="100" w:before="200"/>
      </w:pPr>
      <w:r>
        <w:rPr>
          <w:rFonts w:ascii="Georgia" w:cs="Georgia" w:eastAsia="Georgia" w:hAnsi="Georgia"/>
          <w:color w:val="1A1820"/>
          <w:sz w:val="28"/>
          <w:szCs w:val="28"/>
        </w:rPr>
        <w:t xml:space="preserve">5.2  PBM Waste Index</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Spread_pricing       = Σ(plan_charge − pharmacy_reimbursement)</w:t>
            </w:r>
          </w:p>
          <w:p>
            <w:pPr>
              <w:spacing w:after="0" w:before="0" w:line="260"/>
            </w:pPr>
            <w:r>
              <w:rPr>
                <w:rFonts w:ascii="Consolas" w:cs="Consolas" w:eastAsia="Consolas" w:hAnsi="Consolas"/>
                <w:color w:val="2A2A35"/>
                <w:sz w:val="18"/>
                <w:szCs w:val="18"/>
              </w:rPr>
              <w:t xml:space="preserve">Rebate_leakage       = benchmark_rebate − actual_rebate</w:t>
            </w:r>
          </w:p>
          <w:p>
            <w:pPr>
              <w:spacing w:after="0" w:before="0" w:line="260"/>
            </w:pPr>
            <w:r>
              <w:rPr>
                <w:rFonts w:ascii="Consolas" w:cs="Consolas" w:eastAsia="Consolas" w:hAnsi="Consolas"/>
                <w:color w:val="2A2A35"/>
                <w:sz w:val="18"/>
                <w:szCs w:val="18"/>
              </w:rPr>
              <w:t xml:space="preserve">Formulary_distortion = Σ(tier_assigned_cost − lowest_net_cost_alternative)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Waste_Index_pct = (Spread + Rebate_leakage + Distortion) / Total_Rx_Spend</w:t>
            </w:r>
          </w:p>
        </w:tc>
      </w:tr>
    </w:tbl>
    <w:p>
      <w:pPr>
        <w:spacing w:after="80" w:before="80" w:line="300"/>
        <w:jc w:val="left"/>
      </w:pPr>
      <w:r>
        <w:rPr>
          <w:rFonts w:ascii="Calibri" w:cs="Calibri" w:eastAsia="Calibri" w:hAnsi="Calibri"/>
          <w:b w:val="false"/>
          <w:bCs w:val="false"/>
          <w:i/>
          <w:iCs/>
          <w:color w:val="5C5A55"/>
          <w:sz w:val="20"/>
          <w:szCs w:val="20"/>
        </w:rPr>
        <w:t xml:space="preserve">Tier CERTIFIED requires all three inputs (claims at NDC, contract clauses, current-year remittance). Missing one → MODELED. Missing two → INSUFFICIENT_EVIDENCE.</w:t>
      </w:r>
    </w:p>
    <w:p>
      <w:pPr>
        <w:spacing w:after="100" w:before="200"/>
      </w:pPr>
      <w:r>
        <w:rPr>
          <w:rFonts w:ascii="Georgia" w:cs="Georgia" w:eastAsia="Georgia" w:hAnsi="Georgia"/>
          <w:color w:val="1A1820"/>
          <w:sz w:val="28"/>
          <w:szCs w:val="28"/>
        </w:rPr>
        <w:t xml:space="preserve">5.3  DRAP — Delta Realized vs. Allowable Pricing</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 For each claim c:</w:t>
            </w:r>
          </w:p>
          <w:p>
            <w:pPr>
              <w:spacing w:after="0" w:before="0" w:line="260"/>
            </w:pPr>
            <w:r>
              <w:rPr>
                <w:rFonts w:ascii="Consolas" w:cs="Consolas" w:eastAsia="Consolas" w:hAnsi="Consolas"/>
                <w:color w:val="2A2A35"/>
                <w:sz w:val="18"/>
                <w:szCs w:val="18"/>
              </w:rPr>
              <w:t xml:space="preserve">allowable_c   = benchmark.lookup(c.ndc or c.cpt, c.service_date, c.pos)</w:t>
            </w:r>
          </w:p>
          <w:p>
            <w:pPr>
              <w:spacing w:after="0" w:before="0" w:line="260"/>
            </w:pPr>
            <w:r>
              <w:rPr>
                <w:rFonts w:ascii="Consolas" w:cs="Consolas" w:eastAsia="Consolas" w:hAnsi="Consolas"/>
                <w:color w:val="2A2A35"/>
                <w:sz w:val="18"/>
                <w:szCs w:val="18"/>
              </w:rPr>
              <w:t xml:space="preserve">delta_c       = c.paid_amount − allowable_c</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DRAP_total    = Σ delta_c</w:t>
            </w:r>
          </w:p>
          <w:p>
            <w:pPr>
              <w:spacing w:after="0" w:before="0" w:line="260"/>
            </w:pPr>
            <w:r>
              <w:rPr>
                <w:rFonts w:ascii="Consolas" w:cs="Consolas" w:eastAsia="Consolas" w:hAnsi="Consolas"/>
                <w:color w:val="2A2A35"/>
                <w:sz w:val="18"/>
                <w:szCs w:val="18"/>
              </w:rPr>
              <w:t xml:space="preserve">DRAP_per_PEPM = DRAP_total / member_months</w:t>
            </w:r>
          </w:p>
          <w:p>
            <w:pPr>
              <w:spacing w:after="0" w:before="0" w:line="260"/>
            </w:pPr>
            <w:r>
              <w:rPr>
                <w:rFonts w:ascii="Consolas" w:cs="Consolas" w:eastAsia="Consolas" w:hAnsi="Consolas"/>
                <w:color w:val="2A2A35"/>
                <w:sz w:val="18"/>
                <w:szCs w:val="18"/>
              </w:rPr>
              <w:t xml:space="preserve">EBITDA_impact = DRAP_total   # the dollar is the EBITDA dollar</w:t>
            </w:r>
          </w:p>
        </w:tc>
      </w:tr>
    </w:tbl>
    <w:p>
      <w:pPr>
        <w:spacing w:after="80" w:before="80" w:line="300"/>
        <w:jc w:val="left"/>
      </w:pPr>
      <w:r>
        <w:rPr>
          <w:rFonts w:ascii="Calibri" w:cs="Calibri" w:eastAsia="Calibri" w:hAnsi="Calibri"/>
          <w:b w:val="false"/>
          <w:bCs w:val="false"/>
          <w:i/>
          <w:iCs/>
          <w:color w:val="5C5A55"/>
          <w:sz w:val="20"/>
          <w:szCs w:val="20"/>
        </w:rPr>
        <w:t xml:space="preserve">Benchmark sources: NADAC (rx), CMS Fee Schedule (medical), DOL 5500 Schedule C peer set (admin). The benchmark itself is an EvidenceRef with its own vintage_year.</w:t>
      </w:r>
    </w:p>
    <w:p>
      <w:pPr>
        <w:spacing w:after="100" w:before="200"/>
      </w:pPr>
      <w:r>
        <w:rPr>
          <w:rFonts w:ascii="Georgia" w:cs="Georgia" w:eastAsia="Georgia" w:hAnsi="Georgia"/>
          <w:color w:val="1A1820"/>
          <w:sz w:val="28"/>
          <w:szCs w:val="28"/>
        </w:rPr>
        <w:t xml:space="preserve">5.4  Shady Broker Index — SBI™</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SBI = (Opacity              × 0.30)</w:t>
            </w:r>
          </w:p>
          <w:p>
            <w:pPr>
              <w:spacing w:after="0" w:before="0" w:line="260"/>
            </w:pPr>
            <w:r>
              <w:rPr>
                <w:rFonts w:ascii="Consolas" w:cs="Consolas" w:eastAsia="Consolas" w:hAnsi="Consolas"/>
                <w:color w:val="2A2A35"/>
                <w:sz w:val="18"/>
                <w:szCs w:val="18"/>
              </w:rPr>
              <w:t xml:space="preserve">    + (Renewal_Incentive    × 0.25)</w:t>
            </w:r>
          </w:p>
          <w:p>
            <w:pPr>
              <w:spacing w:after="0" w:before="0" w:line="260"/>
            </w:pPr>
            <w:r>
              <w:rPr>
                <w:rFonts w:ascii="Consolas" w:cs="Consolas" w:eastAsia="Consolas" w:hAnsi="Consolas"/>
                <w:color w:val="2A2A35"/>
                <w:sz w:val="18"/>
                <w:szCs w:val="18"/>
              </w:rPr>
              <w:t xml:space="preserve">    + (Rebate_Distortion    × 0.25)</w:t>
            </w:r>
          </w:p>
          <w:p>
            <w:pPr>
              <w:spacing w:after="0" w:before="0" w:line="260"/>
            </w:pPr>
            <w:r>
              <w:rPr>
                <w:rFonts w:ascii="Consolas" w:cs="Consolas" w:eastAsia="Consolas" w:hAnsi="Consolas"/>
                <w:color w:val="2A2A35"/>
                <w:sz w:val="18"/>
                <w:szCs w:val="18"/>
              </w:rPr>
              <w:t xml:space="preserve">    + (Spread_Linkage       × 0.20)</w:t>
            </w:r>
          </w:p>
        </w:tc>
      </w:tr>
    </w:tbl>
    <w:p>
      <w:pPr>
        <w:spacing w:after="80" w:before="80" w:line="300"/>
        <w:jc w:val="left"/>
      </w:pPr>
      <w:r>
        <w:rPr>
          <w:rFonts w:ascii="Calibri" w:cs="Calibri" w:eastAsia="Calibri" w:hAnsi="Calibri"/>
          <w:b w:val="false"/>
          <w:bCs w:val="false"/>
          <w:i/>
          <w:iCs/>
          <w:color w:val="5C5A55"/>
          <w:sz w:val="20"/>
          <w:szCs w:val="20"/>
        </w:rPr>
        <w:t xml:space="preserve">Structural analysis, not character judgment. Inputs: DOL 5500 Schedule A and C, ERISA §408(b)(2) filings, broker disclosures. Output normalized 0–100. Narrative layer must use that language.</w:t>
      </w:r>
    </w:p>
    <w:p>
      <w:pPr>
        <w:spacing w:after="100" w:before="200"/>
      </w:pPr>
      <w:r>
        <w:rPr>
          <w:rFonts w:ascii="Georgia" w:cs="Georgia" w:eastAsia="Georgia" w:hAnsi="Georgia"/>
          <w:color w:val="1A1820"/>
          <w:sz w:val="28"/>
          <w:szCs w:val="28"/>
        </w:rPr>
        <w:t xml:space="preserve">5.5  GLP-1 Risk Engine  ·  5.6  EBITDA Scenario Engine</w:t>
      </w:r>
    </w:p>
    <w:p>
      <w:pPr>
        <w:spacing w:after="80" w:before="80" w:line="300"/>
        <w:jc w:val="left"/>
      </w:pPr>
      <w:r>
        <w:rPr>
          <w:rFonts w:ascii="Calibri" w:cs="Calibri" w:eastAsia="Calibri" w:hAnsi="Calibri"/>
          <w:b w:val="false"/>
          <w:bCs w:val="false"/>
          <w:i w:val="false"/>
          <w:iCs w:val="false"/>
          <w:color w:val="1A1820"/>
          <w:sz w:val="22"/>
          <w:szCs w:val="22"/>
        </w:rPr>
        <w:t xml:space="preserve">GLP-1 drives utilization, PEPM, trend velocity, and stop-loss pressure — the inputs to Tile 3 (Forward Risk). EBITDA Scenario runs Monte Carlo (10,000 iterations, Cholesky-correlated, 5 distribution types) across GLP-1 growth, stop-loss multipliers, rebate variance, spread variance. Output: probability-weighted EBITDA distribution with P5/P50/P95 bands and renewal-shock waterfall.</w:t>
      </w:r>
    </w:p>
    <w:p>
      <w:pPr>
        <w:spacing w:after="80" w:before="0"/>
      </w:pPr>
      <w:r>
        <w:t xml:space="preserve"/>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STRUCTURAL REPLACEMENT LOGIC</w:t>
            </w:r>
          </w:p>
          <w:p>
            <w:pPr>
              <w:spacing w:after="0" w:before="0" w:line="320"/>
            </w:pPr>
            <w:r>
              <w:rPr>
                <w:rFonts w:ascii="Georgia" w:cs="Georgia" w:eastAsia="Georgia" w:hAnsi="Georgia"/>
                <w:i/>
                <w:iCs/>
                <w:color w:val="1A1820"/>
                <w:sz w:val="22"/>
                <w:szCs w:val="22"/>
              </w:rPr>
              <w:t xml:space="preserve">Let I = information asymmetry, M_b = broker margin, M_i = infrastructure margin. Historically: high I → sustained M_b. With canonical normalization: I↓. Therefore M_b↓ and M_i↑. Kincaid iQ captures M_i. This is not disruption by marketing. It is disruption by math.</w:t>
            </w:r>
          </w:p>
        </w:tc>
      </w:tr>
    </w:tbl>
    <w:p>
      <w:r>
        <w:br w:type="page"/>
      </w:r>
    </w:p>
    <w:p>
      <w:pPr>
        <w:spacing w:after="60" w:before="240"/>
      </w:pPr>
      <w:r>
        <w:rPr>
          <w:rFonts w:ascii="Consolas" w:cs="Consolas" w:eastAsia="Consolas" w:hAnsi="Consolas"/>
          <w:b/>
          <w:bCs/>
          <w:color w:val="B8893C"/>
          <w:spacing w:val="40"/>
          <w:sz w:val="16"/>
          <w:szCs w:val="16"/>
        </w:rPr>
        <w:t xml:space="preserve">§ 6  ·  THE EVIDENCE SPINE</w:t>
      </w:r>
    </w:p>
    <w:p>
      <w:pPr>
        <w:spacing w:after="120" w:before="240" w:line="320"/>
      </w:pPr>
      <w:r>
        <w:rPr>
          <w:rFonts w:ascii="Georgia" w:cs="Georgia" w:eastAsia="Georgia" w:hAnsi="Georgia"/>
          <w:color w:val="1A1820"/>
          <w:sz w:val="44"/>
          <w:szCs w:val="44"/>
        </w:rPr>
        <w:t xml:space="preserve">Append-only. SHA-256</w:t>
      </w:r>
      <w:r>
        <w:rPr>
          <w:rFonts w:ascii="Georgia" w:cs="Georgia" w:eastAsia="Georgia" w:hAnsi="Georgia"/>
          <w:i/>
          <w:iCs/>
          <w:color w:val="B8893C"/>
          <w:sz w:val="44"/>
          <w:szCs w:val="44"/>
        </w:rPr>
        <w:t xml:space="preserve"> sealed. Inviolable.</w:t>
      </w:r>
    </w:p>
    <w:p>
      <w:pPr>
        <w:spacing w:after="180" w:before="80" w:line="320"/>
      </w:pPr>
      <w:r>
        <w:rPr>
          <w:rFonts w:ascii="Georgia" w:cs="Georgia" w:eastAsia="Georgia" w:hAnsi="Georgia"/>
          <w:i/>
          <w:iCs/>
          <w:color w:val="5C5A55"/>
          <w:sz w:val="22"/>
          <w:szCs w:val="22"/>
        </w:rPr>
        <w:t xml:space="preserve">Postgres-backed. Every entry carries a chain_hash = SHA-256(prior_chain_hash || source_hash). Retroactive tampering invalidates every downstream entry. A nightly verify_spine_integrity() job emits a PolicyResult at gate PROMOTE.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CREATE TABLE evidence_spine (</w:t>
            </w:r>
          </w:p>
          <w:p>
            <w:pPr>
              <w:spacing w:after="0" w:before="0" w:line="260"/>
            </w:pPr>
            <w:r>
              <w:rPr>
                <w:rFonts w:ascii="Consolas" w:cs="Consolas" w:eastAsia="Consolas" w:hAnsi="Consolas"/>
                <w:color w:val="2A2A35"/>
                <w:sz w:val="18"/>
                <w:szCs w:val="18"/>
              </w:rPr>
              <w:t xml:space="preserve">    evidence_id        TEXT PRIMARY KEY,</w:t>
            </w:r>
          </w:p>
          <w:p>
            <w:pPr>
              <w:spacing w:after="0" w:before="0" w:line="260"/>
            </w:pPr>
            <w:r>
              <w:rPr>
                <w:rFonts w:ascii="Consolas" w:cs="Consolas" w:eastAsia="Consolas" w:hAnsi="Consolas"/>
                <w:color w:val="2A2A35"/>
                <w:sz w:val="18"/>
                <w:szCs w:val="18"/>
              </w:rPr>
              <w:t xml:space="preserve">    source_hash        CHAR(64) NOT NULL UNIQUE,</w:t>
            </w:r>
          </w:p>
          <w:p>
            <w:pPr>
              <w:spacing w:after="0" w:before="0" w:line="260"/>
            </w:pPr>
            <w:r>
              <w:rPr>
                <w:rFonts w:ascii="Consolas" w:cs="Consolas" w:eastAsia="Consolas" w:hAnsi="Consolas"/>
                <w:color w:val="2A2A35"/>
                <w:sz w:val="18"/>
                <w:szCs w:val="18"/>
              </w:rPr>
              <w:t xml:space="preserve">    source_type        TEXT NOT NULL,</w:t>
            </w:r>
          </w:p>
          <w:p>
            <w:pPr>
              <w:spacing w:after="0" w:before="0" w:line="260"/>
            </w:pPr>
            <w:r>
              <w:rPr>
                <w:rFonts w:ascii="Consolas" w:cs="Consolas" w:eastAsia="Consolas" w:hAnsi="Consolas"/>
                <w:color w:val="2A2A35"/>
                <w:sz w:val="18"/>
                <w:szCs w:val="18"/>
              </w:rPr>
              <w:t xml:space="preserve">    source_uri         TEXT NOT NULL,</w:t>
            </w:r>
          </w:p>
          <w:p>
            <w:pPr>
              <w:spacing w:after="0" w:before="0" w:line="260"/>
            </w:pPr>
            <w:r>
              <w:rPr>
                <w:rFonts w:ascii="Consolas" w:cs="Consolas" w:eastAsia="Consolas" w:hAnsi="Consolas"/>
                <w:color w:val="2A2A35"/>
                <w:sz w:val="18"/>
                <w:szCs w:val="18"/>
              </w:rPr>
              <w:t xml:space="preserve">    captured_at        TIMESTAMPTZ NOT NULL,</w:t>
            </w:r>
          </w:p>
          <w:p>
            <w:pPr>
              <w:spacing w:after="0" w:before="0" w:line="260"/>
            </w:pPr>
            <w:r>
              <w:rPr>
                <w:rFonts w:ascii="Consolas" w:cs="Consolas" w:eastAsia="Consolas" w:hAnsi="Consolas"/>
                <w:color w:val="2A2A35"/>
                <w:sz w:val="18"/>
                <w:szCs w:val="18"/>
              </w:rPr>
              <w:t xml:space="preserve">    vintage_year       INT NOT NULL,</w:t>
            </w:r>
          </w:p>
          <w:p>
            <w:pPr>
              <w:spacing w:after="0" w:before="0" w:line="260"/>
            </w:pPr>
            <w:r>
              <w:rPr>
                <w:rFonts w:ascii="Consolas" w:cs="Consolas" w:eastAsia="Consolas" w:hAnsi="Consolas"/>
                <w:color w:val="2A2A35"/>
                <w:sz w:val="18"/>
                <w:szCs w:val="18"/>
              </w:rPr>
              <w:t xml:space="preserve">    parent_evidence_id TEXT REFERENCES evidence_spine(evidence_id),</w:t>
            </w:r>
          </w:p>
          <w:p>
            <w:pPr>
              <w:spacing w:after="0" w:before="0" w:line="260"/>
            </w:pPr>
            <w:r>
              <w:rPr>
                <w:rFonts w:ascii="Consolas" w:cs="Consolas" w:eastAsia="Consolas" w:hAnsi="Consolas"/>
                <w:color w:val="2A2A35"/>
                <w:sz w:val="18"/>
                <w:szCs w:val="18"/>
              </w:rPr>
              <w:t xml:space="preserve">    chain_hash         CHAR(64) NOT NULL,    -- SHA-256(prior || source)</w:t>
            </w:r>
          </w:p>
          <w:p>
            <w:pPr>
              <w:spacing w:after="0" w:before="0" w:line="260"/>
            </w:pPr>
            <w:r>
              <w:rPr>
                <w:rFonts w:ascii="Consolas" w:cs="Consolas" w:eastAsia="Consolas" w:hAnsi="Consolas"/>
                <w:color w:val="2A2A35"/>
                <w:sz w:val="18"/>
                <w:szCs w:val="18"/>
              </w:rPr>
              <w:t xml:space="preserve">    sealed_at          TIMESTAMPTZ NOT NULL DEFAULT NOW()</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REVOKE UPDATE, DELETE ON evidence_spine FROM PUBLIC;</w:t>
            </w:r>
          </w:p>
        </w:tc>
      </w:tr>
    </w:tbl>
    <w:p>
      <w:r>
        <w:br w:type="page"/>
      </w:r>
    </w:p>
    <w:p>
      <w:pPr>
        <w:spacing w:after="60" w:before="240"/>
      </w:pPr>
      <w:r>
        <w:rPr>
          <w:rFonts w:ascii="Consolas" w:cs="Consolas" w:eastAsia="Consolas" w:hAnsi="Consolas"/>
          <w:b/>
          <w:bCs/>
          <w:color w:val="B8893C"/>
          <w:spacing w:val="40"/>
          <w:sz w:val="16"/>
          <w:szCs w:val="16"/>
        </w:rPr>
        <w:t xml:space="preserve">§ 7  ·  THE API SURFACE</w:t>
      </w:r>
    </w:p>
    <w:p>
      <w:pPr>
        <w:spacing w:after="120" w:before="240" w:line="320"/>
      </w:pPr>
      <w:r>
        <w:rPr>
          <w:rFonts w:ascii="Georgia" w:cs="Georgia" w:eastAsia="Georgia" w:hAnsi="Georgia"/>
          <w:color w:val="1A1820"/>
          <w:sz w:val="44"/>
          <w:szCs w:val="44"/>
        </w:rPr>
        <w:t xml:space="preserve">Versioned. Bearer-guarded.</w:t>
      </w:r>
      <w:r>
        <w:rPr>
          <w:rFonts w:ascii="Georgia" w:cs="Georgia" w:eastAsia="Georgia" w:hAnsi="Georgia"/>
          <w:i/>
          <w:iCs/>
          <w:color w:val="B8893C"/>
          <w:sz w:val="44"/>
          <w:szCs w:val="44"/>
        </w:rPr>
        <w:t xml:space="preserve"> Receipt-bearing.</w:t>
      </w:r>
    </w:p>
    <w:p>
      <w:pPr>
        <w:spacing w:after="180" w:before="80" w:line="320"/>
      </w:pPr>
      <w:r>
        <w:rPr>
          <w:rFonts w:ascii="Georgia" w:cs="Georgia" w:eastAsia="Georgia" w:hAnsi="Georgia"/>
          <w:i/>
          <w:iCs/>
          <w:color w:val="5C5A55"/>
          <w:sz w:val="22"/>
          <w:szCs w:val="22"/>
        </w:rPr>
        <w:t xml:space="preserve">All endpoints under /api/v1/* require Authorization: Bearer $KINCAID_API_TOKEN. Every compute response carries value · confidence · transform_id · evidence_ids · policy_result_id.</w:t>
      </w:r>
    </w:p>
    <w:p>
      <w:pPr>
        <w:spacing w:after="60" w:before="160"/>
      </w:pPr>
      <w:r>
        <w:rPr>
          <w:rFonts w:ascii="Consolas" w:cs="Consolas" w:eastAsia="Consolas" w:hAnsi="Consolas"/>
          <w:b/>
          <w:bCs/>
          <w:color w:val="B8893C"/>
          <w:spacing w:val="30"/>
          <w:sz w:val="16"/>
          <w:szCs w:val="16"/>
        </w:rPr>
        <w:t xml:space="preserve">SURFACE — THE FOUR-TILE CONTRACT</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GET /api/v1/surface/{org_id}/{plan_year}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Returns exactly four tiles, hard-capped by the type system:</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tiles: [Tile, Tile, Tile, Tile]   # Python tuple, TS tuple</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Tile 1: Plan Posture           — PEPM trend, member-months, enrollment</w:t>
            </w:r>
          </w:p>
          <w:p>
            <w:pPr>
              <w:spacing w:after="0" w:before="0" w:line="260"/>
            </w:pPr>
            <w:r>
              <w:rPr>
                <w:rFonts w:ascii="Consolas" w:cs="Consolas" w:eastAsia="Consolas" w:hAnsi="Consolas"/>
                <w:color w:val="2A2A35"/>
                <w:sz w:val="18"/>
                <w:szCs w:val="18"/>
              </w:rPr>
              <w:t xml:space="preserve"># Tile 2: Current EBITDA Drag    — DRAP, PBM Waste, admin overbenchmark</w:t>
            </w:r>
          </w:p>
          <w:p>
            <w:pPr>
              <w:spacing w:after="0" w:before="0" w:line="260"/>
            </w:pPr>
            <w:r>
              <w:rPr>
                <w:rFonts w:ascii="Consolas" w:cs="Consolas" w:eastAsia="Consolas" w:hAnsi="Consolas"/>
                <w:color w:val="2A2A35"/>
                <w:sz w:val="18"/>
                <w:szCs w:val="18"/>
              </w:rPr>
              <w:t xml:space="preserve"># Tile 3: Forward Risk           — GLP-1 trajectory, stop-loss, renewal shock</w:t>
            </w:r>
          </w:p>
          <w:p>
            <w:pPr>
              <w:spacing w:after="0" w:before="0" w:line="260"/>
            </w:pPr>
            <w:r>
              <w:rPr>
                <w:rFonts w:ascii="Consolas" w:cs="Consolas" w:eastAsia="Consolas" w:hAnsi="Consolas"/>
                <w:color w:val="2A2A35"/>
                <w:sz w:val="18"/>
                <w:szCs w:val="18"/>
              </w:rPr>
              <w:t xml:space="preserve"># Tile 4: Fiduciary Posture      — FPS score, gap inventory, governance</w:t>
            </w:r>
          </w:p>
        </w:tc>
      </w:tr>
    </w:tbl>
    <w:p>
      <w:pPr>
        <w:spacing w:after="60" w:before="160"/>
      </w:pPr>
      <w:r>
        <w:rPr>
          <w:rFonts w:ascii="Consolas" w:cs="Consolas" w:eastAsia="Consolas" w:hAnsi="Consolas"/>
          <w:b/>
          <w:bCs/>
          <w:color w:val="B8893C"/>
          <w:spacing w:val="30"/>
          <w:sz w:val="16"/>
          <w:szCs w:val="16"/>
        </w:rPr>
        <w:t xml:space="preserve">COMPUTE · RECEIPTS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rPr>
          <w:tblHeader/>
        </w:trPr>
        <w:tc>
          <w:tcPr>
            <w:tcW w:type="dxa" w:w="10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METHOD</w:t>
            </w:r>
          </w:p>
        </w:tc>
        <w:tc>
          <w:tcPr>
            <w:tcW w:type="dxa" w:w="33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PATH</w:t>
            </w:r>
          </w:p>
        </w:tc>
        <w:tc>
          <w:tcPr>
            <w:tcW w:type="dxa" w:w="50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RETURNS</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GET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/api/v1/health</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Health, spine integrity, version</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GET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/api/v1/me</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Principal, org_id, roles</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/api/v1/evidence</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Ingest EvidenceRef (multipart)</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/api/v1/compute/pepm</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PEPMResult + confidence</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/api/v1/compute/drap</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DRAPResult + confidence</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/api/v1/compute/pbm_waste</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PBMWasteResult + confidence</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/api/v1/compute/sbi</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SBIResult + confidence</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/api/v1/compute/glp1</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GLP1Result + confidence</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/api/v1/compute/ebitda</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EBITDAScenarioResult + bands</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GET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/api/v1/receipt/{kpi_id}</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Full lineage chain</w:t>
            </w:r>
          </w:p>
        </w:tc>
      </w:tr>
      <w:tr>
        <w:tc>
          <w:tcPr>
            <w:tcW w:type="dxa" w:w="1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1A1820"/>
                <w:sz w:val="18"/>
                <w:szCs w:val="18"/>
              </w:rPr>
              <w:t xml:space="preserve">POST</w:t>
            </w:r>
          </w:p>
        </w:tc>
        <w:tc>
          <w:tcPr>
            <w:tcW w:type="dxa" w:w="33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/api/v1/export/board_packet</w:t>
            </w:r>
          </w:p>
        </w:tc>
        <w:tc>
          <w:tcPr>
            <w:tcW w:type="dxa" w:w="50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PDF + manifest.json attached</w:t>
            </w:r>
          </w:p>
        </w:tc>
      </w:tr>
    </w:tbl>
    <w:p>
      <w:r>
        <w:br w:type="page"/>
      </w:r>
    </w:p>
    <w:p>
      <w:pPr>
        <w:spacing w:after="60" w:before="240"/>
      </w:pPr>
      <w:r>
        <w:rPr>
          <w:rFonts w:ascii="Consolas" w:cs="Consolas" w:eastAsia="Consolas" w:hAnsi="Consolas"/>
          <w:b/>
          <w:bCs/>
          <w:color w:val="B8893C"/>
          <w:spacing w:val="40"/>
          <w:sz w:val="16"/>
          <w:szCs w:val="16"/>
        </w:rPr>
        <w:t xml:space="preserve">§ 8  ·  FRONTEND SURFACE</w:t>
      </w:r>
    </w:p>
    <w:p>
      <w:pPr>
        <w:spacing w:after="120" w:before="240" w:line="320"/>
      </w:pPr>
      <w:r>
        <w:rPr>
          <w:rFonts w:ascii="Georgia" w:cs="Georgia" w:eastAsia="Georgia" w:hAnsi="Georgia"/>
          <w:color w:val="1A1820"/>
          <w:sz w:val="44"/>
          <w:szCs w:val="44"/>
        </w:rPr>
        <w:t xml:space="preserve">Glassmorphic. Type-enforced.</w:t>
      </w:r>
      <w:r>
        <w:rPr>
          <w:rFonts w:ascii="Georgia" w:cs="Georgia" w:eastAsia="Georgia" w:hAnsi="Georgia"/>
          <w:i/>
          <w:iCs/>
          <w:color w:val="B8893C"/>
          <w:sz w:val="44"/>
          <w:szCs w:val="44"/>
        </w:rPr>
        <w:t xml:space="preserve"> Receipt-aware.</w:t>
      </w:r>
    </w:p>
    <w:p>
      <w:pPr>
        <w:spacing w:after="180" w:before="80" w:line="320"/>
      </w:pPr>
      <w:r>
        <w:rPr>
          <w:rFonts w:ascii="Georgia" w:cs="Georgia" w:eastAsia="Georgia" w:hAnsi="Georgia"/>
          <w:i/>
          <w:iCs/>
          <w:color w:val="5C5A55"/>
          <w:sz w:val="22"/>
          <w:szCs w:val="22"/>
        </w:rPr>
        <w:t xml:space="preserve">Vite + React + TypeScript. Tailwind utility classes; custom CSS for the glass layer. Fonts: Instrument Serif (display), Geist (body), JetBrains Mono (kickers, labels, numbers). Never Inter, Arial, Space Grotesk, Roboto.</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200"/>
              <w:left w:type="dxa" w:w="280"/>
              <w:bottom w:type="dxa" w:w="200"/>
              <w:right w:type="dxa" w:w="200"/>
            </w:tcMar>
          </w:tcPr>
          <w:p>
            <w:pPr>
              <w:spacing w:after="0" w:before="0" w:line="260"/>
            </w:pPr>
            <w:r>
              <w:rPr>
                <w:rFonts w:ascii="Consolas" w:cs="Consolas" w:eastAsia="Consolas" w:hAnsi="Consolas"/>
                <w:color w:val="2A2A35"/>
                <w:sz w:val="18"/>
                <w:szCs w:val="18"/>
              </w:rPr>
              <w:t xml:space="preserve">// frontend/src/components/FourTileSurface.tsx</w:t>
            </w:r>
          </w:p>
          <w:p>
            <w:pPr>
              <w:spacing w:after="0" w:before="0" w:line="260"/>
            </w:pPr>
            <w:r>
              <w:rPr>
                <w:rFonts w:ascii="Consolas" w:cs="Consolas" w:eastAsia="Consolas" w:hAnsi="Consolas"/>
                <w:color w:val="2A2A35"/>
                <w:sz w:val="18"/>
                <w:szCs w:val="18"/>
              </w:rPr>
              <w:t xml:space="preserve">type Tile = {</w:t>
            </w:r>
          </w:p>
          <w:p>
            <w:pPr>
              <w:spacing w:after="0" w:before="0" w:line="260"/>
            </w:pPr>
            <w:r>
              <w:rPr>
                <w:rFonts w:ascii="Consolas" w:cs="Consolas" w:eastAsia="Consolas" w:hAnsi="Consolas"/>
                <w:color w:val="2A2A35"/>
                <w:sz w:val="18"/>
                <w:szCs w:val="18"/>
              </w:rPr>
              <w:t xml:space="preserve">  id: "plan_posture" | "ebitda_drag" | "forward_risk" | "fiduciary_posture";</w:t>
            </w:r>
          </w:p>
          <w:p>
            <w:pPr>
              <w:spacing w:after="0" w:before="0" w:line="260"/>
            </w:pPr>
            <w:r>
              <w:rPr>
                <w:rFonts w:ascii="Consolas" w:cs="Consolas" w:eastAsia="Consolas" w:hAnsi="Consolas"/>
                <w:color w:val="2A2A35"/>
                <w:sz w:val="18"/>
                <w:szCs w:val="18"/>
              </w:rPr>
              <w:t xml:space="preserve">  title: string;</w:t>
            </w:r>
          </w:p>
          <w:p>
            <w:pPr>
              <w:spacing w:after="0" w:before="0" w:line="260"/>
            </w:pPr>
            <w:r>
              <w:rPr>
                <w:rFonts w:ascii="Consolas" w:cs="Consolas" w:eastAsia="Consolas" w:hAnsi="Consolas"/>
                <w:color w:val="2A2A35"/>
                <w:sz w:val="18"/>
                <w:szCs w:val="18"/>
              </w:rPr>
              <w:t xml:space="preserve">  headline_kpi: { value: string; confidence: Confidence };</w:t>
            </w:r>
          </w:p>
          <w:p>
            <w:pPr>
              <w:spacing w:after="0" w:before="0" w:line="260"/>
            </w:pPr>
            <w:r>
              <w:rPr>
                <w:rFonts w:ascii="Consolas" w:cs="Consolas" w:eastAsia="Consolas" w:hAnsi="Consolas"/>
                <w:color w:val="2A2A35"/>
                <w:sz w:val="18"/>
                <w:szCs w:val="18"/>
              </w:rPr>
              <w:t xml:space="preserve">  drill_path: string;   // /receipt/:kpi_id</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Hard-cap as a 4-tuple. Adding a fifth tile requires a type change.</w:t>
            </w:r>
          </w:p>
          <w:p>
            <w:pPr>
              <w:spacing w:after="0" w:before="0" w:line="260"/>
            </w:pPr>
            <w:r>
              <w:rPr>
                <w:rFonts w:ascii="Consolas" w:cs="Consolas" w:eastAsia="Consolas" w:hAnsi="Consolas"/>
                <w:color w:val="2A2A35"/>
                <w:sz w:val="18"/>
                <w:szCs w:val="18"/>
              </w:rPr>
              <w:t xml:space="preserve">type Surface = { tiles: readonly [Tile, Tile, Tile, Tile] };</w:t>
            </w:r>
          </w:p>
        </w:tc>
      </w:tr>
    </w:tbl>
    <w:p>
      <w:pPr>
        <w:spacing w:after="60" w:before="160"/>
      </w:pPr>
      <w:r>
        <w:rPr>
          <w:rFonts w:ascii="Consolas" w:cs="Consolas" w:eastAsia="Consolas" w:hAnsi="Consolas"/>
          <w:b/>
          <w:bCs/>
          <w:color w:val="B8893C"/>
          <w:spacing w:val="30"/>
          <w:sz w:val="16"/>
          <w:szCs w:val="16"/>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TOKEN</w:t>
            </w:r>
          </w:p>
        </w:tc>
        <w:tc>
          <w:tcPr>
            <w:tcW w:type="dxa" w:w="32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VALUE</w:t>
            </w:r>
          </w:p>
        </w:tc>
        <w:tc>
          <w:tcPr>
            <w:tcW w:type="dxa" w:w="37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USE</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--canvas</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#08070d</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Near-black canvas</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--gold</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#f5c361</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Primary accent, hairlines, kickers</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--emerald</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#4ade80</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CERTIFIED confidence chip</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--amber</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#ffb547</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MODELED confidence chip</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--crimson</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#ff6b7a</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INSUFFICIENT_EVIDENCE chip</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--panel-blur</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blur(28px) saturate(170%)</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Glass panel backdrop</w:t>
            </w:r>
          </w:p>
        </w:tc>
      </w:tr>
      <w:tr>
        <w:tc>
          <w:tcPr>
            <w:tcW w:type="dxa" w:w="2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--panel-radius</w:t>
            </w:r>
          </w:p>
        </w:tc>
        <w:tc>
          <w:tcPr>
            <w:tcW w:type="dxa" w:w="32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val="false"/>
                <w:bCs w:val="false"/>
                <w:color w:val="1A1820"/>
                <w:sz w:val="18"/>
                <w:szCs w:val="18"/>
              </w:rPr>
              <w:t xml:space="preserve">22px</w:t>
            </w:r>
          </w:p>
        </w:tc>
        <w:tc>
          <w:tcPr>
            <w:tcW w:type="dxa" w:w="37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Glass panel corner radius</w:t>
            </w:r>
          </w:p>
        </w:tc>
      </w:tr>
    </w:tbl>
    <w:p>
      <w:r>
        <w:br w:type="page"/>
      </w:r>
    </w:p>
    <w:p>
      <w:pPr>
        <w:spacing w:after="60" w:before="240"/>
      </w:pPr>
      <w:r>
        <w:rPr>
          <w:rFonts w:ascii="Consolas" w:cs="Consolas" w:eastAsia="Consolas" w:hAnsi="Consolas"/>
          <w:b/>
          <w:bCs/>
          <w:color w:val="B8893C"/>
          <w:spacing w:val="40"/>
          <w:sz w:val="16"/>
          <w:szCs w:val="16"/>
        </w:rPr>
        <w:t xml:space="preserve">§ 9  ·  BUILD ORDER</w:t>
      </w:r>
    </w:p>
    <w:p>
      <w:pPr>
        <w:spacing w:after="120" w:before="240" w:line="320"/>
      </w:pPr>
      <w:r>
        <w:rPr>
          <w:rFonts w:ascii="Georgia" w:cs="Georgia" w:eastAsia="Georgia" w:hAnsi="Georgia"/>
          <w:color w:val="1A1820"/>
          <w:sz w:val="44"/>
          <w:szCs w:val="44"/>
        </w:rPr>
        <w:t xml:space="preserve">Sequential.</w:t>
      </w:r>
      <w:r>
        <w:rPr>
          <w:rFonts w:ascii="Georgia" w:cs="Georgia" w:eastAsia="Georgia" w:hAnsi="Georgia"/>
          <w:i/>
          <w:iCs/>
          <w:color w:val="B8893C"/>
          <w:sz w:val="44"/>
          <w:szCs w:val="44"/>
        </w:rPr>
        <w:t xml:space="preserve"> Acceptance-gated.</w:t>
      </w:r>
    </w:p>
    <w:p>
      <w:pPr>
        <w:spacing w:after="180" w:before="80" w:line="320"/>
      </w:pPr>
      <w:r>
        <w:rPr>
          <w:rFonts w:ascii="Georgia" w:cs="Georgia" w:eastAsia="Georgia" w:hAnsi="Georgia"/>
          <w:i/>
          <w:iCs/>
          <w:color w:val="5C5A55"/>
          <w:sz w:val="22"/>
          <w:szCs w:val="22"/>
        </w:rPr>
        <w:t xml:space="preserve">Execute in order. Do not advance until the prior step’s acceptance test passes. Steps 1–3 are non-negotiable foundations. Steps 4–6 deliver the deterministic substrate. Steps 7–10 surface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01</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Repo scaffold · .replit · replit.nix · both processes start</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curl -H "Authorization: Bearer $TOKEN" localhost:8000/api/v1/health → 200; unauth → 401</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02</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Four primitives as Pydantic frozen dataclasses + unit tests</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pytest backend/tests/test_primitives.py green; mutations raise ValidationError</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03</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Evidence Spine schema + Alembic migrations + verify_spine_integrity()</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Empty-spine check PASS; tampered chain_hash returns FAIL with diagnostic</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04</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Gates 1–3 — DEFINE, WIRE, VALIDATE</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Ingest sample PBM claims; gates emit PolicyResults; bad data fails VALIDATE typed</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05</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Gates 4–7 — PROMOTE, COMPUTE, GATE, RENDER for DRAP</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DRAP computed on synthetic data; result has tier, transform_id, evidence_ids[]</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06</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PEPM · PBM Waste · SBI · GLP-1 · EBITDA Scenario engines</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Each asserts determinism: identical input → identical output_hash across N=100 runs</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07</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API routes for compute and receipts</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httpie hits every endpoint with bearer; receipts resolve full lineage to spine</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08</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Frontend scaffold · design tokens · FourTileSurface component</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Four tiles render at /; TypeScript prevents adding a fifth tile at compile time</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09</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Receipt drill UX · ConfidenceChip · FiduciaryPostureGauge</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Every number deep-links to /receipt/:kpi_id; chip colors match tier verdict</w:t>
            </w:r>
          </w:p>
        </w:tc>
      </w:tr>
    </w:tbl>
    <w:p>
      <w:pPr>
        <w:spacing w:after="6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10</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80" w:before="0"/>
            </w:pPr>
            <w:r>
              <w:rPr>
                <w:rFonts w:ascii="Georgia" w:cs="Georgia" w:eastAsia="Georgia" w:hAnsi="Georgia"/>
                <w:color w:val="1A1820"/>
                <w:sz w:val="24"/>
                <w:szCs w:val="24"/>
              </w:rPr>
              <w:t xml:space="preserve">Board packet export with cryptographic manifest</w:t>
            </w:r>
          </w:p>
          <w:p>
            <w:pPr>
              <w:spacing w:after="0" w:before="0"/>
            </w:pPr>
            <w:r>
              <w:rPr>
                <w:rFonts w:ascii="Consolas" w:cs="Consolas" w:eastAsia="Consolas" w:hAnsi="Consolas"/>
                <w:b/>
                <w:bCs/>
                <w:color w:val="2D7F4F"/>
                <w:spacing w:val="30"/>
                <w:sz w:val="14"/>
                <w:szCs w:val="14"/>
              </w:rPr>
              <w:t xml:space="preserve">✓ ACCEPT  </w:t>
            </w:r>
            <w:r>
              <w:rPr>
                <w:rFonts w:ascii="Consolas" w:cs="Consolas" w:eastAsia="Consolas" w:hAnsi="Consolas"/>
                <w:color w:val="5C5A55"/>
                <w:sz w:val="16"/>
                <w:szCs w:val="16"/>
              </w:rPr>
              <w:t xml:space="preserve">PDF opens; manifest.json attached; every cited hash resolves to a spine entry</w:t>
            </w:r>
          </w:p>
        </w:tc>
      </w:tr>
    </w:tbl>
    <w:p>
      <w:r>
        <w:br w:type="page"/>
      </w:r>
    </w:p>
    <w:p>
      <w:pPr>
        <w:spacing w:after="60" w:before="240"/>
      </w:pPr>
      <w:r>
        <w:rPr>
          <w:rFonts w:ascii="Consolas" w:cs="Consolas" w:eastAsia="Consolas" w:hAnsi="Consolas"/>
          <w:b/>
          <w:bCs/>
          <w:color w:val="B8893C"/>
          <w:spacing w:val="40"/>
          <w:sz w:val="16"/>
          <w:szCs w:val="16"/>
        </w:rPr>
        <w:t xml:space="preserve">§ 10  ·  CATEGORY DISCIPLINE</w:t>
      </w:r>
    </w:p>
    <w:p>
      <w:pPr>
        <w:spacing w:after="120" w:before="240" w:line="320"/>
      </w:pPr>
      <w:r>
        <w:rPr>
          <w:rFonts w:ascii="Georgia" w:cs="Georgia" w:eastAsia="Georgia" w:hAnsi="Georgia"/>
          <w:color w:val="1A1820"/>
          <w:sz w:val="44"/>
          <w:szCs w:val="44"/>
        </w:rPr>
        <w:t xml:space="preserve">What this build</w:t>
      </w:r>
      <w:r>
        <w:rPr>
          <w:rFonts w:ascii="Georgia" w:cs="Georgia" w:eastAsia="Georgia" w:hAnsi="Georgia"/>
          <w:i/>
          <w:iCs/>
          <w:color w:val="B8893C"/>
          <w:sz w:val="44"/>
          <w:szCs w:val="44"/>
        </w:rPr>
        <w:t xml:space="preserve"> is not.</w:t>
      </w:r>
    </w:p>
    <w:p>
      <w:pPr>
        <w:spacing w:after="180" w:before="80" w:line="320"/>
      </w:pPr>
      <w:r>
        <w:rPr>
          <w:rFonts w:ascii="Georgia" w:cs="Georgia" w:eastAsia="Georgia" w:hAnsi="Georgia"/>
          <w:i/>
          <w:iCs/>
          <w:color w:val="5C5A55"/>
          <w:sz w:val="22"/>
          <w:szCs w:val="22"/>
        </w:rPr>
        <w:t xml:space="preserve">State these in the agent’s working memory. They prevent category drift — the most common failure mode when an LLM-driven build is left unsupervised.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PROHIBITION</w:t>
            </w:r>
          </w:p>
        </w:tc>
        <w:tc>
          <w:tcPr>
            <w:tcW w:type="dxa" w:w="5960"/>
            <w:tcBorders>
              <w:top w:val="single" w:color="B8893C" w:sz="4"/>
              <w:left w:val="single" w:color="B8893C" w:sz="4"/>
              <w:bottom w:val="single" w:color="B8893C" w:sz="4"/>
              <w:right w:val="single" w:color="B8893C" w:sz="4"/>
            </w:tcBorders>
            <w:shd w:fill="EFE6D0" w:val="clear"/>
            <w:tcMar>
              <w:top w:type="dxa" w:w="120"/>
              <w:left w:type="dxa" w:w="140"/>
              <w:bottom w:type="dxa" w:w="120"/>
              <w:right w:type="dxa" w:w="140"/>
            </w:tcMar>
          </w:tcPr>
          <w:p>
            <w:pPr>
              <w:spacing w:after="0" w:before="0"/>
            </w:pPr>
            <w:r>
              <w:rPr>
                <w:rFonts w:ascii="Consolas" w:cs="Consolas" w:eastAsia="Consolas" w:hAnsi="Consolas"/>
                <w:b/>
                <w:bCs/>
                <w:color w:val="B8893C"/>
                <w:spacing w:val="24"/>
                <w:sz w:val="15"/>
                <w:szCs w:val="15"/>
              </w:rPr>
              <w:t xml:space="preserve">WHY IT MATTERS</w:t>
            </w:r>
          </w:p>
        </w:tc>
      </w:tr>
      <w:tr>
        <w:tc>
          <w:tcPr>
            <w:tcW w:type="dxa" w:w="3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NOT A DASHBOARD</w:t>
            </w:r>
          </w:p>
        </w:tc>
        <w:tc>
          <w:tcPr>
            <w:tcW w:type="dxa" w:w="5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Dashboards show numbers. This shows receipts. A surfaced number without a drill path is a constitutional failure.</w:t>
            </w:r>
          </w:p>
        </w:tc>
      </w:tr>
      <w:tr>
        <w:tc>
          <w:tcPr>
            <w:tcW w:type="dxa" w:w="3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NOT A CONSULTING ACCELERATOR</w:t>
            </w:r>
          </w:p>
        </w:tc>
        <w:tc>
          <w:tcPr>
            <w:tcW w:type="dxa" w:w="5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If implementable in Power Query / Alteryx / Power BI within one engagement cycle, it is not a Kincaid iQ feature. Reject the build.</w:t>
            </w:r>
          </w:p>
        </w:tc>
      </w:tr>
      <w:tr>
        <w:tc>
          <w:tcPr>
            <w:tcW w:type="dxa" w:w="3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NOT A BROKER TOOL</w:t>
            </w:r>
          </w:p>
        </w:tc>
        <w:tc>
          <w:tcPr>
            <w:tcW w:type="dxa" w:w="5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Buyer is the CFO, the PE operating partner, the M&amp;A deal team, the board, the family office. UX calibrated to that audience.</w:t>
            </w:r>
          </w:p>
        </w:tc>
      </w:tr>
      <w:tr>
        <w:tc>
          <w:tcPr>
            <w:tcW w:type="dxa" w:w="3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NOT HEALTHCARE ANALYTICS</w:t>
            </w:r>
          </w:p>
        </w:tc>
        <w:tc>
          <w:tcPr>
            <w:tcW w:type="dxa" w:w="5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Fiduciary-grade financial infrastructure that happens to deploy in healthcare first. Comp set: Palantir, Snowflake, Databricks.</w:t>
            </w:r>
          </w:p>
        </w:tc>
      </w:tr>
      <w:tr>
        <w:tc>
          <w:tcPr>
            <w:tcW w:type="dxa" w:w="3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NOT A GENERATIVE-AI PRODUCT</w:t>
            </w:r>
          </w:p>
        </w:tc>
        <w:tc>
          <w:tcPr>
            <w:tcW w:type="dxa" w:w="5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Generative outputs are gated, cited, admin-approved. Deterministic math is the substrate; narrative is the surface; the layers never merge.</w:t>
            </w:r>
          </w:p>
        </w:tc>
      </w:tr>
      <w:tr>
        <w:tc>
          <w:tcPr>
            <w:tcW w:type="dxa" w:w="340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onsolas" w:cs="Consolas" w:eastAsia="Consolas" w:hAnsi="Consolas"/>
                <w:b/>
                <w:bCs/>
                <w:color w:val="A93939"/>
                <w:sz w:val="18"/>
                <w:szCs w:val="18"/>
              </w:rPr>
              <w:t xml:space="preserve">NOT FOR HR</w:t>
            </w:r>
          </w:p>
        </w:tc>
        <w:tc>
          <w:tcPr>
            <w:tcW w:type="dxa" w:w="5960"/>
            <w:tcBorders>
              <w:top w:val="single" w:color="C9A961" w:sz="4"/>
              <w:left w:val="single" w:color="C9A961" w:sz="4"/>
              <w:bottom w:val="single" w:color="C9A961" w:sz="4"/>
              <w:right w:val="single" w:color="C9A961" w:sz="4"/>
            </w:tcBorders>
            <w:tcMar>
              <w:top w:type="dxa" w:w="120"/>
              <w:left w:type="dxa" w:w="140"/>
              <w:bottom w:type="dxa" w:w="120"/>
              <w:right w:type="dxa" w:w="140"/>
            </w:tcMar>
            <w:vAlign w:val="top"/>
          </w:tcPr>
          <w:p>
            <w:pPr>
              <w:spacing w:after="0" w:before="0" w:line="280"/>
            </w:pPr>
            <w:r>
              <w:rPr>
                <w:rFonts w:ascii="Calibri" w:cs="Calibri" w:eastAsia="Calibri" w:hAnsi="Calibri"/>
                <w:b w:val="false"/>
                <w:bCs w:val="false"/>
                <w:color w:val="1A1820"/>
                <w:sz w:val="20"/>
                <w:szCs w:val="20"/>
              </w:rPr>
              <w:t xml:space="preserve">HR is not the buyer. The product is fiduciary-grade infrastructure for the people who carry fiduciary obligation.</w:t>
            </w:r>
          </w:p>
        </w:tc>
      </w:tr>
    </w:tbl>
    <w:p>
      <w:r>
        <w:br w:type="page"/>
      </w:r>
    </w:p>
    <w:p>
      <w:pPr>
        <w:spacing w:after="60" w:before="240"/>
      </w:pPr>
      <w:r>
        <w:rPr>
          <w:rFonts w:ascii="Consolas" w:cs="Consolas" w:eastAsia="Consolas" w:hAnsi="Consolas"/>
          <w:b/>
          <w:bCs/>
          <w:color w:val="B8893C"/>
          <w:spacing w:val="40"/>
          <w:sz w:val="16"/>
          <w:szCs w:val="16"/>
        </w:rPr>
        <w:t xml:space="preserve">§ 11  ·  THE AGENT’S FIRST CONCRETE TASK</w:t>
      </w:r>
    </w:p>
    <w:p>
      <w:pPr>
        <w:spacing w:after="120" w:before="240" w:line="320"/>
      </w:pPr>
      <w:r>
        <w:rPr>
          <w:rFonts w:ascii="Georgia" w:cs="Georgia" w:eastAsia="Georgia" w:hAnsi="Georgia"/>
          <w:color w:val="1A1820"/>
          <w:sz w:val="44"/>
          <w:szCs w:val="44"/>
        </w:rPr>
        <w:t xml:space="preserve">Execute Step 1.</w:t>
      </w:r>
      <w:r>
        <w:rPr>
          <w:rFonts w:ascii="Georgia" w:cs="Georgia" w:eastAsia="Georgia" w:hAnsi="Georgia"/>
          <w:i/>
          <w:iCs/>
          <w:color w:val="B8893C"/>
          <w:sz w:val="44"/>
          <w:szCs w:val="44"/>
        </w:rPr>
        <w:t xml:space="preserve"> Stop. Wait.</w:t>
      </w:r>
    </w:p>
    <w:p>
      <w:pPr>
        <w:spacing w:after="180" w:before="80" w:line="320"/>
      </w:pPr>
      <w:r>
        <w:rPr>
          <w:rFonts w:ascii="Georgia" w:cs="Georgia" w:eastAsia="Georgia" w:hAnsi="Georgia"/>
          <w:i/>
          <w:iCs/>
          <w:color w:val="5C5A55"/>
          <w:sz w:val="22"/>
          <w:szCs w:val="22"/>
        </w:rPr>
        <w:t xml:space="preserve">The agent that executes this build does so under supervision, advancing only on confirmed acceptance. The first task is small enough to be observed, large enough to prove the architecture compiles.</w:t>
      </w:r>
    </w:p>
    <w:p>
      <w:pPr>
        <w:pStyle w:val="ListParagraph"/>
        <w:numPr>
          <w:ilvl w:val="0"/>
          <w:numId w:val="2"/>
        </w:numPr>
      </w:pPr>
      <w:r>
        <w:rPr>
          <w:rFonts w:ascii="Calibri" w:cs="Calibri" w:eastAsia="Calibri" w:hAnsi="Calibri"/>
          <w:color w:val="1A1820"/>
          <w:sz w:val="22"/>
          <w:szCs w:val="22"/>
        </w:rPr>
        <w:t xml:space="preserve">Initialize the directory structure in §1.</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backend/app/main.py</w:t>
      </w:r>
      <w:r>
        <w:rPr>
          <w:rFonts w:ascii="Calibri" w:cs="Calibri" w:eastAsia="Calibri" w:hAnsi="Calibri"/>
          <w:color w:val="1A1820"/>
          <w:sz w:val="22"/>
          <w:szCs w:val="22"/>
        </w:rPr>
        <w:t xml:space="preserve"> exposing </w:t>
      </w:r>
      <w:r>
        <w:rPr>
          <w:rFonts w:ascii="Consolas" w:cs="Consolas" w:eastAsia="Consolas" w:hAnsi="Consolas"/>
          <w:color w:val="B8893C"/>
          <w:sz w:val="20"/>
          <w:szCs w:val="20"/>
        </w:rPr>
        <w:t xml:space="preserve">/api/v1/health</w:t>
      </w:r>
      <w:r>
        <w:rPr>
          <w:rFonts w:ascii="Calibri" w:cs="Calibri" w:eastAsia="Calibri" w:hAnsi="Calibri"/>
          <w:color w:val="1A1820"/>
          <w:sz w:val="22"/>
          <w:szCs w:val="22"/>
        </w:rPr>
        <w:t xml:space="preserve"> guarded by </w:t>
      </w:r>
      <w:r>
        <w:rPr>
          <w:rFonts w:ascii="Consolas" w:cs="Consolas" w:eastAsia="Consolas" w:hAnsi="Consolas"/>
          <w:color w:val="B8893C"/>
          <w:sz w:val="20"/>
          <w:szCs w:val="20"/>
        </w:rPr>
        <w:t xml:space="preserve">require_token</w:t>
      </w:r>
      <w:r>
        <w:rPr>
          <w:rFonts w:ascii="Calibri" w:cs="Calibri" w:eastAsia="Calibri" w:hAnsi="Calibri"/>
          <w:color w:val="1A1820"/>
          <w:sz w:val="22"/>
          <w:szCs w:val="22"/>
        </w:rPr>
        <w:t xml:space="preserve">.</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frontend/src/App.tsx</w:t>
      </w:r>
      <w:r>
        <w:rPr>
          <w:rFonts w:ascii="Calibri" w:cs="Calibri" w:eastAsia="Calibri" w:hAnsi="Calibri"/>
          <w:color w:val="1A1820"/>
          <w:sz w:val="22"/>
          <w:szCs w:val="22"/>
        </w:rPr>
        <w:t xml:space="preserve"> with a placeholder that calls </w:t>
      </w:r>
      <w:r>
        <w:rPr>
          <w:rFonts w:ascii="Consolas" w:cs="Consolas" w:eastAsia="Consolas" w:hAnsi="Consolas"/>
          <w:color w:val="B8893C"/>
          <w:sz w:val="20"/>
          <w:szCs w:val="20"/>
        </w:rPr>
        <w:t xml:space="preserve">/api/v1/health</w:t>
      </w:r>
      <w:r>
        <w:rPr>
          <w:rFonts w:ascii="Calibri" w:cs="Calibri" w:eastAsia="Calibri" w:hAnsi="Calibri"/>
          <w:color w:val="1A1820"/>
          <w:sz w:val="22"/>
          <w:szCs w:val="22"/>
        </w:rPr>
        <w:t xml:space="preserve"> on mount and renders the response.</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run.sh</w:t>
      </w:r>
      <w:r>
        <w:rPr>
          <w:rFonts w:ascii="Calibri" w:cs="Calibri" w:eastAsia="Calibri" w:hAnsi="Calibri"/>
          <w:color w:val="1A1820"/>
          <w:sz w:val="22"/>
          <w:szCs w:val="22"/>
        </w:rPr>
        <w:t xml:space="preserve">: uvicorn on 8000, Vite on 5173 with proxy for </w:t>
      </w:r>
      <w:r>
        <w:rPr>
          <w:rFonts w:ascii="Consolas" w:cs="Consolas" w:eastAsia="Consolas" w:hAnsi="Consolas"/>
          <w:color w:val="B8893C"/>
          <w:sz w:val="20"/>
          <w:szCs w:val="20"/>
        </w:rPr>
        <w:t xml:space="preserve">/api</w:t>
      </w:r>
      <w:r>
        <w:rPr>
          <w:rFonts w:ascii="Calibri" w:cs="Calibri" w:eastAsia="Calibri" w:hAnsi="Calibri"/>
          <w:color w:val="1A1820"/>
          <w:sz w:val="22"/>
          <w:szCs w:val="22"/>
        </w:rPr>
        <w:t xml:space="preserve">.</w:t>
      </w:r>
    </w:p>
    <w:p>
      <w:pPr>
        <w:pStyle w:val="ListParagraph"/>
        <w:numPr>
          <w:ilvl w:val="0"/>
          <w:numId w:val="2"/>
        </w:numPr>
      </w:pPr>
      <w:r>
        <w:rPr>
          <w:rFonts w:ascii="Calibri" w:cs="Calibri" w:eastAsia="Calibri" w:hAnsi="Calibri"/>
          <w:color w:val="1A1820"/>
          <w:sz w:val="22"/>
          <w:szCs w:val="22"/>
        </w:rPr>
        <w:t xml:space="preserve">Write </w:t>
      </w:r>
      <w:r>
        <w:rPr>
          <w:rFonts w:ascii="Consolas" w:cs="Consolas" w:eastAsia="Consolas" w:hAnsi="Consolas"/>
          <w:color w:val="B8893C"/>
          <w:sz w:val="20"/>
          <w:szCs w:val="20"/>
        </w:rPr>
        <w:t xml:space="preserve">replit.nix</w:t>
      </w:r>
      <w:r>
        <w:rPr>
          <w:rFonts w:ascii="Calibri" w:cs="Calibri" w:eastAsia="Calibri" w:hAnsi="Calibri"/>
          <w:color w:val="1A1820"/>
          <w:sz w:val="22"/>
          <w:szCs w:val="22"/>
        </w:rPr>
        <w:t xml:space="preserve">: Python 3.11, Node 20, Postgres 16.</w:t>
      </w:r>
    </w:p>
    <w:p>
      <w:pPr>
        <w:pStyle w:val="ListParagraph"/>
        <w:numPr>
          <w:ilvl w:val="0"/>
          <w:numId w:val="2"/>
        </w:numPr>
      </w:pPr>
      <w:r>
        <w:rPr>
          <w:rFonts w:ascii="Calibri" w:cs="Calibri" w:eastAsia="Calibri" w:hAnsi="Calibri"/>
          <w:color w:val="1A1820"/>
          <w:sz w:val="22"/>
          <w:szCs w:val="22"/>
        </w:rPr>
        <w:t xml:space="preserve">Generate </w:t>
      </w:r>
      <w:r>
        <w:rPr>
          <w:rFonts w:ascii="Consolas" w:cs="Consolas" w:eastAsia="Consolas" w:hAnsi="Consolas"/>
          <w:color w:val="B8893C"/>
          <w:sz w:val="20"/>
          <w:szCs w:val="20"/>
        </w:rPr>
        <w:t xml:space="preserve">KINCAID_API_TOKEN</w:t>
      </w:r>
      <w:r>
        <w:rPr>
          <w:rFonts w:ascii="Calibri" w:cs="Calibri" w:eastAsia="Calibri" w:hAnsi="Calibri"/>
          <w:color w:val="1A1820"/>
          <w:sz w:val="22"/>
          <w:szCs w:val="22"/>
        </w:rPr>
        <w:t xml:space="preserve"> via </w:t>
      </w:r>
      <w:r>
        <w:rPr>
          <w:rFonts w:ascii="Consolas" w:cs="Consolas" w:eastAsia="Consolas" w:hAnsi="Consolas"/>
          <w:color w:val="B8893C"/>
          <w:sz w:val="20"/>
          <w:szCs w:val="20"/>
        </w:rPr>
        <w:t xml:space="preserve">secrets.token_urlsafe(32)</w:t>
      </w:r>
      <w:r>
        <w:rPr>
          <w:rFonts w:ascii="Calibri" w:cs="Calibri" w:eastAsia="Calibri" w:hAnsi="Calibri"/>
          <w:color w:val="1A1820"/>
          <w:sz w:val="22"/>
          <w:szCs w:val="22"/>
        </w:rPr>
        <w:t xml:space="preserve">; paste into Replit Secrets.</w:t>
      </w:r>
    </w:p>
    <w:p>
      <w:pPr>
        <w:spacing w:after="160" w:before="0"/>
      </w:pPr>
      <w:r>
        <w:t xml:space="preserve"/>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STOP CONDITION</w:t>
            </w:r>
          </w:p>
          <w:p>
            <w:pPr>
              <w:spacing w:after="0" w:before="0" w:line="320"/>
            </w:pPr>
            <w:r>
              <w:rPr>
                <w:rFonts w:ascii="Georgia" w:cs="Georgia" w:eastAsia="Georgia" w:hAnsi="Georgia"/>
                <w:i/>
                <w:iCs/>
                <w:color w:val="1A1820"/>
                <w:sz w:val="22"/>
                <w:szCs w:val="22"/>
              </w:rPr>
              <w:t xml:space="preserve">curl -H "Authorization: Bearer $TOKEN" http://localhost:8000/api/v1/health returns 200. Without the header, 401. The frontend at localhost:5173 displays the health response. Stop. Wait for explicit advancement to Step 2.</w:t>
            </w:r>
          </w:p>
        </w:tc>
      </w:tr>
    </w:tbl>
    <w:p>
      <w:pPr>
        <w:spacing w:after="400" w:before="0"/>
      </w:pPr>
      <w:r>
        <w:t xml:space="preserve"/>
      </w:r>
    </w:p>
    <w:p>
      <w:pPr>
        <w:pBdr>
          <w:top w:val="single" w:color="B8893C" w:sz="6" w:space="8"/>
        </w:pBdr>
        <w:spacing w:after="120" w:before="0"/>
        <w:jc w:val="center"/>
      </w:pPr>
      <w:r>
        <w:t xml:space="preserve"/>
      </w:r>
    </w:p>
    <w:p>
      <w:pPr>
        <w:spacing w:after="80" w:before="120"/>
        <w:jc w:val="center"/>
      </w:pPr>
      <w:r>
        <w:rPr>
          <w:rFonts w:ascii="Georgia" w:cs="Georgia" w:eastAsia="Georgia" w:hAnsi="Georgia"/>
          <w:i/>
          <w:iCs/>
          <w:color w:val="B8893C"/>
          <w:sz w:val="26"/>
          <w:szCs w:val="26"/>
        </w:rPr>
        <w:t xml:space="preserve">— I believe in myself.</w:t>
      </w:r>
    </w:p>
    <w:p>
      <w:pPr>
        <w:spacing w:after="60" w:before="0"/>
        <w:jc w:val="center"/>
      </w:pPr>
      <w:r>
        <w:rPr>
          <w:rFonts w:ascii="Georgia" w:cs="Georgia" w:eastAsia="Georgia" w:hAnsi="Georgia"/>
          <w:i/>
          <w:iCs/>
          <w:color w:val="5C5A55"/>
          <w:sz w:val="20"/>
          <w:szCs w:val="20"/>
        </w:rPr>
        <w:t xml:space="preserve">Disruption by math, not by marketing.</w:t>
      </w:r>
    </w:p>
    <w:p>
      <w:pPr>
        <w:spacing w:after="0" w:before="80"/>
        <w:jc w:val="center"/>
      </w:pPr>
      <w:r>
        <w:rPr>
          <w:rFonts w:ascii="Consolas" w:cs="Consolas" w:eastAsia="Consolas" w:hAnsi="Consolas"/>
          <w:color w:val="847E72"/>
          <w:spacing w:val="50"/>
          <w:sz w:val="14"/>
          <w:szCs w:val="14"/>
        </w:rPr>
        <w:t xml:space="preserve">KINCAID iQ  ·  SIRIUSB iQ  ·  KINCAID RMC  ·  v1.0  ·  24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3C" w:sz="4" w:space="4"/>
      </w:pBdr>
      <w:tabs>
        <w:tab w:val="right" w:pos="9360"/>
      </w:tabs>
      <w:spacing w:after="0" w:before="0"/>
    </w:pPr>
    <w:r>
      <w:rPr>
        <w:rFonts w:ascii="Consolas" w:cs="Consolas" w:eastAsia="Consolas" w:hAnsi="Consolas"/>
        <w:color w:val="847E72"/>
        <w:spacing w:val="30"/>
        <w:sz w:val="13"/>
        <w:szCs w:val="13"/>
      </w:rPr>
      <w:t xml:space="preserve">CLASSIFICATION: ENGINEERING DOCTRINE</w:t>
    </w:r>
    <w:r>
      <w:rPr>
        <w:rFonts w:ascii="Consolas" w:cs="Consolas" w:eastAsia="Consolas" w:hAnsi="Consolas"/>
      </w:rPr>
      <w:t xml:space="preserve">	</w:t>
    </w:r>
    <w:r>
      <w:rPr>
        <w:rFonts w:ascii="Consolas" w:cs="Consolas" w:eastAsia="Consolas" w:hAnsi="Consolas"/>
        <w:color w:val="847E72"/>
        <w:spacing w:val="30"/>
        <w:sz w:val="13"/>
        <w:szCs w:val="13"/>
      </w:rPr>
      <w:t xml:space="preserve">PAGE </w:t>
    </w:r>
    <w:r>
      <w:rPr>
        <w:rFonts w:ascii="Consolas" w:cs="Consolas" w:eastAsia="Consolas" w:hAnsi="Consolas"/>
        <w:b/>
        <w:bCs/>
        <w:color w:val="B8893C"/>
        <w:sz w:val="13"/>
        <w:szCs w:val="13"/>
      </w:rPr>
      <w:fldChar w:fldCharType="begin"/>
      <w:instrText xml:space="preserve">PAGE</w:instrText>
      <w:fldChar w:fldCharType="separate"/>
      <w:fldChar w:fldCharType="end"/>
    </w:r>
    <w:r>
      <w:rPr>
        <w:rFonts w:ascii="Consolas" w:cs="Consolas" w:eastAsia="Consolas" w:hAnsi="Consolas"/>
        <w:color w:val="847E72"/>
        <w:sz w:val="13"/>
        <w:szCs w:val="13"/>
      </w:rPr>
      <w:t xml:space="preserve"> / </w:t>
    </w:r>
    <w:r>
      <w:rPr>
        <w:rFonts w:ascii="Consolas" w:cs="Consolas" w:eastAsia="Consolas" w:hAnsi="Consolas"/>
        <w:b/>
        <w:bCs/>
        <w:color w:val="B8893C"/>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3C" w:sz="4" w:space="4"/>
      </w:pBdr>
      <w:tabs>
        <w:tab w:val="right" w:pos="9360"/>
      </w:tabs>
      <w:spacing w:after="0" w:before="0"/>
    </w:pPr>
    <w:r>
      <w:rPr>
        <w:rFonts w:ascii="Consolas" w:cs="Consolas" w:eastAsia="Consolas" w:hAnsi="Consolas"/>
        <w:b/>
        <w:bCs/>
        <w:color w:val="B8893C"/>
        <w:spacing w:val="40"/>
        <w:sz w:val="14"/>
        <w:szCs w:val="14"/>
      </w:rPr>
      <w:t xml:space="preserve">KINCAID iQ</w:t>
    </w:r>
    <w:r>
      <w:rPr>
        <w:rFonts w:ascii="Consolas" w:cs="Consolas" w:eastAsia="Consolas" w:hAnsi="Consolas"/>
        <w:color w:val="847E72"/>
        <w:sz w:val="14"/>
        <w:szCs w:val="14"/>
      </w:rPr>
      <w:t xml:space="preserve">   ·   </w:t>
    </w:r>
    <w:r>
      <w:rPr>
        <w:rFonts w:ascii="Consolas" w:cs="Consolas" w:eastAsia="Consolas" w:hAnsi="Consolas"/>
        <w:color w:val="847E72"/>
        <w:spacing w:val="30"/>
        <w:sz w:val="14"/>
        <w:szCs w:val="14"/>
      </w:rPr>
      <w:t xml:space="preserve">REPLIT MASTER BUILD PROMPT</w:t>
    </w:r>
    <w:r>
      <w:rPr>
        <w:rFonts w:ascii="Consolas" w:cs="Consolas" w:eastAsia="Consolas" w:hAnsi="Consolas"/>
      </w:rPr>
      <w:t xml:space="preserve">	</w:t>
    </w:r>
    <w:r>
      <w:rPr>
        <w:rFonts w:ascii="Consolas" w:cs="Consolas" w:eastAsia="Consolas" w:hAnsi="Consolas"/>
        <w:color w:val="847E72"/>
        <w:spacing w:val="30"/>
        <w:sz w:val="14"/>
        <w:szCs w:val="14"/>
      </w:rPr>
      <w:t xml:space="preserve">v1.0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Consolas" w:cs="Consolas" w:eastAsia="Consolas" w:hAnsi="Consolas"/>
        <w:b/>
        <w:bCs/>
        <w:color w:val="B889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Kincaid iQ — Replit Master Build Prompt</dc:title>
  <dc:creator>Jeremiah Franklin Shrack</dc:creator>
  <dc:description>Constitutional build specification for the SiriusB engine deployed as the Kincaid iQ healthcare application.</dc:description>
  <cp:lastModifiedBy>Un-named</cp:lastModifiedBy>
  <cp:revision>1</cp:revision>
  <dcterms:created xsi:type="dcterms:W3CDTF">2026-05-24T05:40:13.481Z</dcterms:created>
  <dcterms:modified xsi:type="dcterms:W3CDTF">2026-05-24T05:40:13.481Z</dcterms:modified>
</cp:coreProperties>
</file>

<file path=docProps/custom.xml><?xml version="1.0" encoding="utf-8"?>
<Properties xmlns="http://schemas.openxmlformats.org/officeDocument/2006/custom-properties" xmlns:vt="http://schemas.openxmlformats.org/officeDocument/2006/docPropsVTypes"/>
</file>