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are living in a world full of technology. Probably when we think about the 10 years challenge, we look back and think, how things have changed, how fast we have actually progressed and the sole reason is the level of research quality that is being done with the available resources. And because of so much research, there’s a huge competition between the new publishers and they look for really good marketing companies. And living in a digital world, people prefer to read articles online or watch videos rather than reading a book. As a member of a marketing agency, you’re given a dataset having the title, subjects and other features based on which you have to predict what will be the material of that to-be-published research so that you can tie-up with an ideal publisher and help them grow. The following are the material types: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Book</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Sound disc</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Video case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Sound case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Music</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Mixed</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Cr</w:t>
      </w:r>
    </w:p>
    <w:p w:rsidR="00000000" w:rsidDel="00000000" w:rsidP="00000000" w:rsidRDefault="00000000" w:rsidRPr="00000000" w14:paraId="00000009">
      <w:pPr>
        <w:rPr/>
      </w:pPr>
      <w:r w:rsidDel="00000000" w:rsidR="00000000" w:rsidRPr="00000000">
        <w:rPr>
          <w:rtl w:val="0"/>
        </w:rPr>
        <w:t xml:space="preserve">You have to predict the column “MaterialType” and please submit in the format given in the “sample_submissions.csv” file. Also, note evaluation criteria will be the weighted f1-score.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COLUMN DESCRIPTION:</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85"/>
        <w:gridCol w:w="1820"/>
        <w:gridCol w:w="6755"/>
        <w:tblGridChange w:id="0">
          <w:tblGrid>
            <w:gridCol w:w="785"/>
            <w:gridCol w:w="1820"/>
            <w:gridCol w:w="6755"/>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Sl. No.</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Column Label</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Column Description</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calculated unique ID for each research.</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UsageClass</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Denotes if the item is “physical” or “digital”</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CheckoutType</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Denotes the vendor tool used to check out the item.</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CheckoutYear</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4-digit year of checkout for this record.</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CheckoutMonth</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month of checkout for this record.</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Checkouts</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count of the number of times the title was checked out within the “Checkout Month”.</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full title and subtitle of an individual item</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Creator</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 or entity is responsible for authoring the item.</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Subjects</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subject of the item as it appears in the catalog</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Publisher</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publisher of the title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PublicationYear</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year from the catalog record in which the item was published, printed, or copyrighted</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MaterialType</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Describes the type of item checked out</w:t>
            </w:r>
          </w:p>
        </w:tc>
      </w:tr>
    </w:tbl>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