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Segoe UI" w:hAnsi="Segoe UI"/>
          <w:b/>
          <w:color w:val="1A365D"/>
          <w:sz w:val="44"/>
        </w:rPr>
        <w:t>Product Dossier: LeadFlow AI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Segoe UI" w:hAnsi="Segoe UI"/>
          <w:b/>
          <w:color w:val="1A365D"/>
          <w:sz w:val="30"/>
        </w:rPr>
        <w:t>1. Executive Summary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Problem:</w:t>
      </w:r>
      <w:r>
        <w:rPr>
          <w:rFonts w:ascii="Segoe UI" w:hAnsi="Segoe UI"/>
          <w:color w:val="2D3748"/>
          <w:sz w:val="21"/>
        </w:rPr>
        <w:t xml:space="preserve"> Small to medium-sized B2B service providers (e.g., marketing agencies, IT consultancies, professional services firms with 5-50 employees) face a critical challenge: inconsistent lead generation. They often lack dedicated sales teams, rely on time-consuming manual outreach, or are priced out of expensive enterprise-grade sales engagement platforms. This results in unpredictable revenue, stalled growth, and significant operational inefficiencies.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Solution:</w:t>
      </w:r>
      <w:r>
        <w:rPr>
          <w:rFonts w:ascii="Segoe UI" w:hAnsi="Segoe UI"/>
          <w:color w:val="2D3748"/>
          <w:sz w:val="21"/>
        </w:rPr>
        <w:t xml:space="preserve"> LeadFlow AI is an innovative, low-cost, AI-driven platform designed to democratize sophisticated lead generation and outreach. It automates the entire prospecting, data enrichment, and personalized email sequencing process, delivering a consistent flow of qualified leads directly to SMBs.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