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Segoe UI" w:hAnsi="Segoe UI"/>
          <w:b/>
          <w:color w:val="1A365D"/>
          <w:sz w:val="44"/>
        </w:rPr>
        <w:t>AdaptivOS: Product Dossier</w:t>
      </w:r>
    </w:p>
    <w:p>
      <w:pPr>
        <w:spacing w:before="60" w:after="100" w:line="276" w:lineRule="auto"/>
      </w:pPr>
      <w:r>
        <w:rPr>
          <w:rFonts w:ascii="Segoe UI" w:hAnsi="Segoe UI"/>
          <w:b/>
          <w:color w:val="1A365D"/>
          <w:sz w:val="21"/>
        </w:rPr>
        <w:t>Product Name:</w:t>
      </w:r>
      <w:r>
        <w:rPr>
          <w:rFonts w:ascii="Segoe UI" w:hAnsi="Segoe UI"/>
          <w:color w:val="2D3748"/>
          <w:sz w:val="21"/>
        </w:rPr>
        <w:t xml:space="preserve"> AdaptivOS</w:t>
      </w:r>
    </w:p>
    <w:p>
      <w:pPr>
        <w:spacing w:before="120" w:after="120"/>
        <w:jc w:val="center"/>
      </w:pPr>
      <w:r>
        <w:rPr>
          <w:color w:val="E2E8F0"/>
        </w:rPr>
        <w:t>――――――――――――――――――――――――――――――――――――――――――――――――――</w:t>
      </w:r>
    </w:p>
    <w:p>
      <w:pPr>
        <w:spacing w:before="280" w:after="120"/>
      </w:pPr>
      <w:r>
        <w:rPr>
          <w:rFonts w:ascii="Segoe UI" w:hAnsi="Segoe UI"/>
          <w:b/>
          <w:color w:val="1A365D"/>
          <w:sz w:val="30"/>
        </w:rPr>
        <w:t>1) Executive Summary</w:t>
      </w:r>
    </w:p>
    <w:p>
      <w:pPr>
        <w:spacing w:before="60" w:after="100" w:line="276" w:lineRule="auto"/>
      </w:pPr>
      <w:r>
        <w:rPr>
          <w:rFonts w:ascii="Segoe UI" w:hAnsi="Segoe UI"/>
          <w:color w:val="2D3748"/>
          <w:sz w:val="21"/>
        </w:rPr>
        <w:t>AdaptivOS is a pioneering modular SaaS platform engineered to redefine how small to medium-sized businesses (SMBs) and startups acquire and utilize essential business software. In an era dominated by expensive, all-inclusive SaaS bundles and restrictive feature-gating, AdaptivOS offers a refreshing alternative. Our platform empowers users to construct a bespoke toolset from a comprehensive, ever-growing library of core business functionalities (e.g., CRM, invoicing, project management).</w:t>
      </w:r>
    </w:p>
    <w:p>
      <w:pPr>
        <w:spacing w:before="60" w:after="100" w:line="276" w:lineRule="auto"/>
      </w:pPr>
      <w:r>
        <w:rPr>
          <w:rFonts w:ascii="Segoe UI" w:hAnsi="Segoe UI"/>
          <w:color w:val="2D3748"/>
          <w:sz w:val="21"/>
        </w:rPr>
        <w:t>The core innovation lies in our pay-as-you-go model, which, combined with a robust free tier, ensures businesses only invest in the specific features they actively need. This eliminates the financial burden of unused software, fosters unparalleled scalability, and provides true vendor flexibility. AdaptivOS directly addresses the pain points of cost-conscious SMBs and agile startups seeking flexible, integrated solutions without the overhead and complexity of enterprise-level pricing. We are building the adaptable operating system for the modern, lean business.</w:t>
      </w:r>
    </w:p>
    <w:p>
      <w:pPr>
        <w:spacing w:before="120" w:after="120"/>
        <w:jc w:val="center"/>
      </w:pPr>
      <w:r>
        <w:rPr>
          <w:color w:val="E2E8F0"/>
        </w:rPr>
        <w:t>――――――――――――――――――――――――――――――――――――――――――――――――――</w:t>
      </w:r>
    </w:p>
    <w:p>
      <w:pPr>
        <w:spacing w:before="280" w:after="120"/>
      </w:pPr>
      <w:r>
        <w:rPr>
          <w:rFonts w:ascii="Segoe UI" w:hAnsi="Segoe UI"/>
          <w:b/>
          <w:color w:val="1A365D"/>
          <w:sz w:val="30"/>
        </w:rPr>
        <w:t>2) Core Features</w:t>
      </w:r>
    </w:p>
    <w:p>
      <w:pPr>
        <w:spacing w:before="60" w:after="100" w:line="276" w:lineRule="auto"/>
      </w:pPr>
      <w:r>
        <w:rPr>
          <w:rFonts w:ascii="Segoe UI" w:hAnsi="Segoe UI"/>
          <w:color w:val="2D3748"/>
          <w:sz w:val="21"/>
        </w:rPr>
        <w:t>AdaptivOS is built on a foundation of modularity, flexibility, and user control. Each feature is designed as an independent, yet seamlessly integrated, module that users can activate or deactivate on demand.</w:t>
      </w:r>
    </w:p>
    <w:p>
      <w:pPr>
        <w:pStyle w:val="ListBullet"/>
        <w:spacing w:before="40" w:after="40"/>
      </w:pPr>
      <w:r>
        <w:rPr>
          <w:rFonts w:ascii="Segoe UI" w:hAnsi="Segoe UI"/>
          <w:b/>
          <w:color w:val="1A365D"/>
          <w:sz w:val="21"/>
        </w:rPr>
        <w:t>Modular Feature Library:</w:t>
      </w:r>
      <w:r>
        <w:rPr>
          <w:rFonts w:ascii="Segoe UI" w:hAnsi="Segoe UI"/>
          <w:color w:val="2D3748"/>
          <w:sz w:val="21"/>
        </w:rPr>
        <w:t xml:space="preserve"> A curated and expanding collection of essential business tools available for selection:</w:t>
      </w:r>
    </w:p>
    <w:p>
      <w:pPr>
        <w:pStyle w:val="ListBullet"/>
        <w:spacing w:before="40" w:after="40"/>
      </w:pPr>
      <w:r>
        <w:rPr>
          <w:rFonts w:ascii="Segoe UI" w:hAnsi="Segoe UI"/>
          <w:b/>
          <w:color w:val="1A365D"/>
          <w:sz w:val="21"/>
        </w:rPr>
        <w:t>CRM Lite:</w:t>
      </w:r>
      <w:r>
        <w:rPr>
          <w:rFonts w:ascii="Segoe UI" w:hAnsi="Segoe UI"/>
          <w:color w:val="2D3748"/>
          <w:sz w:val="21"/>
        </w:rPr>
        <w:t xml:space="preserve"> Contact management, lead tracking, basic sales pipeline.</w:t>
      </w:r>
    </w:p>
    <w:p>
      <w:pPr>
        <w:pStyle w:val="ListBullet"/>
        <w:spacing w:before="40" w:after="40"/>
      </w:pPr>
      <w:r>
        <w:rPr>
          <w:rFonts w:ascii="Segoe UI" w:hAnsi="Segoe UI"/>
          <w:b/>
          <w:color w:val="1A365D"/>
          <w:sz w:val="21"/>
        </w:rPr>
        <w:t>Invoicing &amp; Billing:</w:t>
      </w:r>
      <w:r>
        <w:rPr>
          <w:rFonts w:ascii="Segoe UI" w:hAnsi="Segoe UI"/>
          <w:color w:val="2D3748"/>
          <w:sz w:val="21"/>
        </w:rPr>
        <w:t xml:space="preserve"> Professional invoice generation, payment tracking, expense logging.</w:t>
      </w:r>
    </w:p>
    <w:p>
      <w:pPr>
        <w:pStyle w:val="ListBullet"/>
        <w:spacing w:before="40" w:after="40"/>
      </w:pPr>
      <w:r>
        <w:rPr>
          <w:rFonts w:ascii="Segoe UI" w:hAnsi="Segoe UI"/>
          <w:b/>
          <w:color w:val="1A365D"/>
          <w:sz w:val="21"/>
        </w:rPr>
        <w:t>Project &amp; Task Management:</w:t>
      </w:r>
      <w:r>
        <w:rPr>
          <w:rFonts w:ascii="Segoe UI" w:hAnsi="Segoe UI"/>
          <w:color w:val="2D3748"/>
          <w:sz w:val="21"/>
        </w:rPr>
        <w:t xml:space="preserve"> Task assignment, progress tracking, team collaboration, Kanban boards.</w:t>
      </w:r>
    </w:p>
    <w:p>
      <w:pPr>
        <w:pStyle w:val="ListBullet"/>
        <w:spacing w:before="40" w:after="40"/>
      </w:pPr>
      <w:r>
        <w:rPr>
          <w:rFonts w:ascii="Segoe UI" w:hAnsi="Segoe UI"/>
          <w:b/>
          <w:color w:val="1A365D"/>
          <w:sz w:val="21"/>
        </w:rPr>
        <w:t>Reporting &amp; Analytics (Basic):</w:t>
      </w:r>
      <w:r>
        <w:rPr>
          <w:rFonts w:ascii="Segoe UI" w:hAnsi="Segoe UI"/>
          <w:color w:val="2D3748"/>
          <w:sz w:val="21"/>
        </w:rPr>
        <w:t xml:space="preserve"> Customizable dashboards, key performance indicators (KPIs) for activated modules.</w:t>
      </w:r>
    </w:p>
    <w:p>
      <w:pPr>
        <w:pStyle w:val="ListBullet"/>
        <w:spacing w:before="40" w:after="40"/>
      </w:pPr>
      <w:r>
        <w:rPr>
          <w:rFonts w:ascii="Segoe UI" w:hAnsi="Segoe UI"/>
          <w:b/>
          <w:color w:val="1A365D"/>
          <w:sz w:val="21"/>
        </w:rPr>
        <w:t>Document Management:</w:t>
      </w:r>
      <w:r>
        <w:rPr>
          <w:rFonts w:ascii="Segoe UI" w:hAnsi="Segoe UI"/>
          <w:color w:val="2D3748"/>
          <w:sz w:val="21"/>
        </w:rPr>
        <w:t xml:space="preserve"> Secure storage, sharing, and version control for business documents.</w:t>
      </w:r>
    </w:p>
    <w:p>
      <w:pPr>
        <w:pStyle w:val="ListBullet"/>
        <w:spacing w:before="40" w:after="40"/>
      </w:pPr>
      <w:r>
        <w:rPr>
          <w:rFonts w:ascii="Segoe UI" w:hAnsi="Segoe UI"/>
          <w:b/>
          <w:color w:val="1A365D"/>
          <w:sz w:val="21"/>
        </w:rPr>
        <w:t>Basic HR:</w:t>
      </w:r>
      <w:r>
        <w:rPr>
          <w:rFonts w:ascii="Segoe UI" w:hAnsi="Segoe UI"/>
          <w:color w:val="2D3748"/>
          <w:sz w:val="21"/>
        </w:rPr>
        <w:t xml:space="preserve"> Employee directory, time-off requests, simple attendance tracking.</w:t>
      </w:r>
    </w:p>
    <w:p>
      <w:pPr>
        <w:pStyle w:val="ListBullet"/>
        <w:spacing w:before="40" w:after="40"/>
      </w:pPr>
      <w:r>
        <w:rPr>
          <w:rFonts w:ascii="Segoe UI" w:hAnsi="Segoe UI"/>
          <w:b/>
          <w:color w:val="1A365D"/>
          <w:sz w:val="21"/>
        </w:rPr>
        <w:t>Lightweight Marketing Automation:</w:t>
      </w:r>
      <w:r>
        <w:rPr>
          <w:rFonts w:ascii="Segoe UI" w:hAnsi="Segoe UI"/>
          <w:color w:val="2D3748"/>
          <w:sz w:val="21"/>
        </w:rPr>
        <w:t xml:space="preserve"> Email campaign builder, contact segmentation.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