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andoff-market-intelligence-engine"/>
    <w:p>
      <w:pPr>
        <w:pStyle w:val="Heading1"/>
      </w:pPr>
      <w:r>
        <w:t xml:space="preserve">HANDOFF — Market Intelligence Engine</w:t>
      </w:r>
    </w:p>
    <w:p>
      <w:pPr>
        <w:pStyle w:val="FirstParagraph"/>
      </w:pPr>
      <w:r>
        <w:t xml:space="preserve">You’ve been handed a working-but-flawed pipeline that mines public discussions to surface non-generic business opportunities for a founder. Your job is to finish it per the specifications in this folder.</w:t>
      </w:r>
    </w:p>
    <w:p>
      <w:pPr>
        <w:pStyle w:val="BodyText"/>
      </w:pPr>
      <w:r>
        <w:rPr>
          <w:b/>
          <w:bCs/>
        </w:rPr>
        <w:t xml:space="preserve">Do NOT start coding until you have read all five documents in order.</w:t>
      </w:r>
      <w:r>
        <w:t xml:space="preserve"> </w:t>
      </w:r>
      <w:r>
        <w:t xml:space="preserve">They are dependency-ordered — later docs assume you know earlier docs.</w:t>
      </w:r>
    </w:p>
    <w:p>
      <w:r>
        <w:pict>
          <v:rect style="width:0;height:1.5pt" o:hralign="center" o:hrstd="t" o:hr="t"/>
        </w:pict>
      </w:r>
    </w:p>
    <w:bookmarkStart w:id="14" w:name="reading-order-mandatory"/>
    <w:p>
      <w:pPr>
        <w:pStyle w:val="Heading2"/>
      </w:pPr>
      <w:r>
        <w:t xml:space="preserve">Reading order (mandatory)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tells you</w:t>
            </w:r>
          </w:p>
        </w:tc>
        <w:tc>
          <w:tcPr/>
          <w:p>
            <w:pPr>
              <w:pStyle w:val="Compact"/>
            </w:pPr>
            <w:r>
              <w:t xml:space="preserve">Read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01_VISION_AND_PRINCIPLES.md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Why the project exists, who the user is, the 5 non-negotiable principles, success criteria, scope in/out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02_CURRENT_STATE_AUDIT.md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What’s already in</w:t>
            </w:r>
            <w:r>
              <w:t xml:space="preserve"> </w:t>
            </w:r>
            <w:r>
              <w:rPr>
                <w:rStyle w:val="VerbatimChar"/>
              </w:rPr>
              <w:t xml:space="preserve">D:\Start\</w:t>
            </w:r>
            <w:r>
              <w:t xml:space="preserve">, what works, what to KEEP/DELETE/REFACTOR, DB state, LOC estimates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03_TARGET_ARCHITECTURE.md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Multi-agent design, model tier cascades, local runtime choice (llama.cpp adopted), storage, dual output shape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04_IMPLEMENTATION_ROADMAP.md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 0–9 execution plan, 30+ ready-to-paste Antigravity briefs, failure protocol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05_OPERATIONS_AND_ANTIPATTERNS.md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Daily runbook, verification checklist for every AG completion claim, failure catalogue with 12 specific past incidents, trust contract with AG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</w:tbl>
    <w:p>
      <w:pPr>
        <w:pStyle w:val="BodyText"/>
      </w:pPr>
      <w:r>
        <w:t xml:space="preserve">Total onboarding:</w:t>
      </w:r>
      <w:r>
        <w:t xml:space="preserve"> </w:t>
      </w:r>
      <w:r>
        <w:rPr>
          <w:b/>
          <w:bCs/>
        </w:rPr>
        <w:t xml:space="preserve">~1.5 hours of reading before you touch code.</w:t>
      </w:r>
      <w:r>
        <w:t xml:space="preserve"> </w:t>
      </w:r>
      <w:r>
        <w:t xml:space="preserve">Do not skip.</w:t>
      </w:r>
    </w:p>
    <w:p>
      <w:r>
        <w:pict>
          <v:rect style="width:0;height:1.5pt" o:hralign="center" o:hrstd="t" o:hr="t"/>
        </w:pict>
      </w:r>
    </w:p>
    <w:bookmarkEnd w:id="14"/>
    <w:bookmarkStart w:id="15" w:name="first-day-action"/>
    <w:p>
      <w:pPr>
        <w:pStyle w:val="Heading2"/>
      </w:pPr>
      <w:r>
        <w:t xml:space="preserve">First day action</w:t>
      </w:r>
    </w:p>
    <w:p>
      <w:pPr>
        <w:pStyle w:val="FirstParagraph"/>
      </w:pPr>
      <w:r>
        <w:t xml:space="preserve">After reading: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0 in doc 04</w:t>
      </w:r>
      <w:r>
        <w:t xml:space="preserve"> </w:t>
      </w:r>
      <w:r>
        <w:t xml:space="preserve">— backup the DB, archive briefs, clean stale files, verify handoff docs exist.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in doc 04</w:t>
      </w:r>
      <w:r>
        <w:t xml:space="preserve"> </w:t>
      </w:r>
      <w:r>
        <w:t xml:space="preserve">— model tier split in</w:t>
      </w:r>
      <w:r>
        <w:t xml:space="preserve"> </w:t>
      </w:r>
      <w:r>
        <w:rPr>
          <w:rStyle w:val="VerbatimChar"/>
        </w:rPr>
        <w:t xml:space="preserve">key_manager.py</w:t>
      </w:r>
      <w:r>
        <w:t xml:space="preserve"> </w:t>
      </w:r>
      <w:r>
        <w:t xml:space="preserve">+ route</w:t>
      </w:r>
      <w:r>
        <w:t xml:space="preserve"> </w:t>
      </w:r>
      <w:r>
        <w:rPr>
          <w:rStyle w:val="VerbatimChar"/>
        </w:rPr>
        <w:t xml:space="preserve">idea_ranker.py</w:t>
      </w:r>
      <w:r>
        <w:t xml:space="preserve"> </w:t>
      </w:r>
      <w:r>
        <w:t xml:space="preserve">to deep tier + verify.</w:t>
      </w:r>
    </w:p>
    <w:p>
      <w:pPr>
        <w:pStyle w:val="FirstParagraph"/>
      </w:pPr>
      <w:r>
        <w:t xml:space="preserve">That’s it for day 1. Do not do Phase 2 until Phase 1’s verification passes.</w:t>
      </w:r>
    </w:p>
    <w:p>
      <w:r>
        <w:pict>
          <v:rect style="width:0;height:1.5pt" o:hralign="center" o:hrstd="t" o:hr="t"/>
        </w:pict>
      </w:r>
    </w:p>
    <w:bookmarkEnd w:id="15"/>
    <w:bookmarkStart w:id="16" w:name="rules-of-engagement-non-negotiable"/>
    <w:p>
      <w:pPr>
        <w:pStyle w:val="Heading2"/>
      </w:pPr>
      <w:r>
        <w:t xml:space="preserve">Rules of engagement (non-negotiable)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thing at a time.</w:t>
      </w:r>
      <w:r>
        <w:t xml:space="preserve"> </w:t>
      </w:r>
      <w:r>
        <w:t xml:space="preserve">Every code change is a single atomic step with a verification. No bundling.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trust AG’s completion summaries.</w:t>
      </w:r>
      <w:r>
        <w:t xml:space="preserve"> </w:t>
      </w:r>
      <w:r>
        <w:t xml:space="preserve">Run the verification checklist in doc 05 §2 every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principle violations.</w:t>
      </w:r>
      <w:r>
        <w:t xml:space="preserve"> </w:t>
      </w:r>
      <w:r>
        <w:t xml:space="preserve">If a proposed change violates any of the 5 principles in doc 01, reject it or rewrite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in doubt, halt.</w:t>
      </w:r>
      <w:r>
        <w:t xml:space="preserve"> </w:t>
      </w:r>
      <w:r>
        <w:t xml:space="preserve">Escalate to the founder per doc 05 §9 rather than making a 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paid APIs. Ever.</w:t>
      </w:r>
      <w:r>
        <w:t xml:space="preserve"> </w:t>
      </w:r>
      <w:r>
        <w:t xml:space="preserve">Founder constraint. Card-required tiers count as paid.</w:t>
      </w:r>
    </w:p>
    <w:p>
      <w:r>
        <w:pict>
          <v:rect style="width:0;height:1.5pt" o:hralign="center" o:hrstd="t" o:hr="t"/>
        </w:pict>
      </w:r>
    </w:p>
    <w:bookmarkEnd w:id="16"/>
    <w:bookmarkStart w:id="17" w:name="where-things-live"/>
    <w:p>
      <w:pPr>
        <w:pStyle w:val="Heading2"/>
      </w:pPr>
      <w:r>
        <w:t xml:space="preserve">Where things live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D:\Start\project\</w:t>
      </w:r>
      <w:r>
        <w:t xml:space="preserve"> </w:t>
      </w:r>
      <w:r>
        <w:t xml:space="preserve">(Python 3.11+)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Data:</w:t>
      </w:r>
      <w:r>
        <w:t xml:space="preserve"> </w:t>
      </w:r>
      <w:r>
        <w:rPr>
          <w:rStyle w:val="VerbatimChar"/>
        </w:rPr>
        <w:t xml:space="preserve">D:\Start\project\data\intel.db</w:t>
      </w:r>
      <w:r>
        <w:t xml:space="preserve"> </w:t>
      </w:r>
      <w:r>
        <w:t xml:space="preserve">(SQLite — has 1,548 real raw items, 1,146 pain points, 46 real WTP rows — DO NOT WIPE)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DB backups:</w:t>
      </w:r>
      <w:r>
        <w:t xml:space="preserve"> </w:t>
      </w:r>
      <w:r>
        <w:rPr>
          <w:rStyle w:val="VerbatimChar"/>
        </w:rPr>
        <w:t xml:space="preserve">D:\Start\project\data\intel.db.bak.YYYYMMDD</w:t>
      </w:r>
      <w:r>
        <w:t xml:space="preserve"> </w:t>
      </w:r>
      <w:r>
        <w:t xml:space="preserve">(create on day 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Knowledge vault:</w:t>
      </w:r>
      <w:r>
        <w:t xml:space="preserve"> </w:t>
      </w:r>
      <w:r>
        <w:rPr>
          <w:rStyle w:val="VerbatimChar"/>
        </w:rPr>
        <w:t xml:space="preserve">D:\Start\Market_Intelligence_Vault\</w:t>
      </w:r>
      <w:r>
        <w:t xml:space="preserve"> </w:t>
      </w:r>
      <w:r>
        <w:t xml:space="preserve">(Obsidian, human-readable playbooks, keep as living reference)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Founder’s context:</w:t>
      </w:r>
      <w:r>
        <w:t xml:space="preserve"> </w:t>
      </w:r>
      <w:r>
        <w:rPr>
          <w:rStyle w:val="VerbatimChar"/>
        </w:rPr>
        <w:t xml:space="preserve">D:\Start\Sahil_Goel_Insights.docx</w:t>
      </w:r>
      <w:r>
        <w:t xml:space="preserve"> </w:t>
      </w:r>
      <w:r>
        <w:t xml:space="preserve">(the painkiller/vitamin thesis, 100Cr math, D2C micro-niches)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Environment:</w:t>
      </w:r>
      <w:r>
        <w:t xml:space="preserve"> </w:t>
      </w:r>
      <w:r>
        <w:rPr>
          <w:rStyle w:val="VerbatimChar"/>
        </w:rPr>
        <w:t xml:space="preserve">D:\Start\.env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D:\Start\project\.env</w:t>
      </w:r>
      <w:r>
        <w:t xml:space="preserve"> </w:t>
      </w:r>
      <w:r>
        <w:t xml:space="preserve">(LLM provider keys)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Reference research:</w:t>
      </w:r>
      <w:r>
        <w:t xml:space="preserve"> </w:t>
      </w:r>
      <w:r>
        <w:rPr>
          <w:rStyle w:val="VerbatimChar"/>
        </w:rPr>
        <w:t xml:space="preserve">D:\Start\RESEARCH_REPO_LANDSCAPE.md</w:t>
      </w:r>
      <w:r>
        <w:t xml:space="preserve"> </w:t>
      </w:r>
      <w:r>
        <w:t xml:space="preserve">(repo landscape survey)</w:t>
      </w:r>
    </w:p>
    <w:p>
      <w:r>
        <w:pict>
          <v:rect style="width:0;height:1.5pt" o:hralign="center" o:hrstd="t" o:hr="t"/>
        </w:pict>
      </w:r>
    </w:p>
    <w:bookmarkEnd w:id="17"/>
    <w:bookmarkStart w:id="18" w:name="where-to-ask-for-help"/>
    <w:p>
      <w:pPr>
        <w:pStyle w:val="Heading2"/>
      </w:pPr>
      <w:r>
        <w:t xml:space="preserve">Where to ask for help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question you can’t resolve from these docs:</w:t>
      </w:r>
      <w:r>
        <w:t xml:space="preserve"> </w:t>
      </w:r>
      <w:r>
        <w:t xml:space="preserve">escalate to the founder (per doc 05 §9).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 produced garbage:</w:t>
      </w:r>
      <w:r>
        <w:t xml:space="preserve"> </w:t>
      </w:r>
      <w:r>
        <w:t xml:space="preserve">doc 05 §3 (failure catalogue) probably names your symptom. If not, add a new entry once you diagnose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 want to add a new source / provider / agent:</w:t>
      </w:r>
      <w:r>
        <w:t xml:space="preserve"> </w:t>
      </w:r>
      <w:r>
        <w:t xml:space="preserve">doc 05 §7 (change management) has the process.</w:t>
      </w:r>
    </w:p>
    <w:p>
      <w:r>
        <w:pict>
          <v:rect style="width:0;height:1.5pt" o:hralign="center" o:hrstd="t" o:hr="t"/>
        </w:pict>
      </w:r>
    </w:p>
    <w:bookmarkEnd w:id="18"/>
    <w:bookmarkStart w:id="19" w:name="X21052f70a804f88a983afc1c6021ebe97d0c1fb"/>
    <w:p>
      <w:pPr>
        <w:pStyle w:val="Heading2"/>
      </w:pPr>
      <w:r>
        <w:t xml:space="preserve">Success criteria (from doc 01 §5, restated so you can’t miss them)</w:t>
      </w:r>
    </w:p>
    <w:p>
      <w:pPr>
        <w:pStyle w:val="FirstParagraph"/>
      </w:pPr>
      <w:r>
        <w:t xml:space="preserve">You are done when all five are true after a real run:</w:t>
      </w:r>
    </w:p>
    <w:p>
      <w:pPr>
        <w:pStyle w:val="Compact"/>
        <w:numPr>
          <w:ilvl w:val="0"/>
          <w:numId w:val="1005"/>
        </w:numPr>
      </w:pPr>
      <w:r>
        <w:t xml:space="preserve">At least one candidate wedge is defensible (5+ WTP evidence from 3+ platforms, preserved proper noun, non-declining trend).</w:t>
      </w:r>
    </w:p>
    <w:p>
      <w:pPr>
        <w:pStyle w:val="Compact"/>
        <w:numPr>
          <w:ilvl w:val="0"/>
          <w:numId w:val="1005"/>
        </w:numPr>
      </w:pPr>
      <w:r>
        <w:t xml:space="preserve">The founder can name three humans to DM within an hour of reading the dossier.</w:t>
      </w:r>
    </w:p>
    <w:p>
      <w:pPr>
        <w:pStyle w:val="Compact"/>
        <w:numPr>
          <w:ilvl w:val="0"/>
          <w:numId w:val="1005"/>
        </w:numPr>
      </w:pPr>
      <w:r>
        <w:t xml:space="preserve">Every claim in both outputs traces to a source URL.</w:t>
      </w:r>
    </w:p>
    <w:p>
      <w:pPr>
        <w:pStyle w:val="Compact"/>
        <w:numPr>
          <w:ilvl w:val="0"/>
          <w:numId w:val="1005"/>
        </w:numPr>
      </w:pPr>
      <w:r>
        <w:t xml:space="preserve">A full run completes in under 60 minutes OR halts honestly with a resume path.</w:t>
      </w:r>
    </w:p>
    <w:p>
      <w:pPr>
        <w:pStyle w:val="Compact"/>
        <w:numPr>
          <w:ilvl w:val="0"/>
          <w:numId w:val="1005"/>
        </w:numPr>
      </w:pPr>
      <w:r>
        <w:t xml:space="preserve">A new engineer can produce a valid run within one working day using only these five documents.</w:t>
      </w:r>
    </w:p>
    <w:p>
      <w:pPr>
        <w:pStyle w:val="FirstParagraph"/>
      </w:pPr>
      <w:r>
        <w:t xml:space="preserve">Anything less is not</w:t>
      </w:r>
      <w:r>
        <w:t xml:space="preserve"> </w:t>
      </w:r>
      <w:r>
        <w:t xml:space="preserve">“mostly done.”</w:t>
      </w:r>
      <w:r>
        <w:t xml:space="preserve"> </w:t>
      </w:r>
      <w:r>
        <w:t xml:space="preserve">It is broken. Fix before shipping the next feature.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go read</w:t>
      </w:r>
      <w:r>
        <w:t xml:space="preserve"> </w:t>
      </w:r>
      <w:hyperlink r:id="rId9">
        <w:r>
          <w:rPr>
            <w:rStyle w:val="Hyperlink"/>
          </w:rPr>
          <w:t xml:space="preserve">01_VISION_AND_PRINCIPLES.md</w:t>
        </w:r>
      </w:hyperlink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VISION_AND_PRINCIPLES.md" TargetMode="External" /><Relationship Type="http://schemas.openxmlformats.org/officeDocument/2006/relationships/hyperlink" Id="rId10" Target="02_CURRENT_STATE_AUDIT.md" TargetMode="External" /><Relationship Type="http://schemas.openxmlformats.org/officeDocument/2006/relationships/hyperlink" Id="rId11" Target="03_TARGET_ARCHITECTURE.md" TargetMode="External" /><Relationship Type="http://schemas.openxmlformats.org/officeDocument/2006/relationships/hyperlink" Id="rId12" Target="04_IMPLEMENTATION_ROADMAP.md" TargetMode="External" /><Relationship Type="http://schemas.openxmlformats.org/officeDocument/2006/relationships/hyperlink" Id="rId13" Target="05_OPERATIONS_AND_ANTIPATTER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VISION_AND_PRINCIPLES.md" TargetMode="External" /><Relationship Type="http://schemas.openxmlformats.org/officeDocument/2006/relationships/hyperlink" Id="rId10" Target="02_CURRENT_STATE_AUDIT.md" TargetMode="External" /><Relationship Type="http://schemas.openxmlformats.org/officeDocument/2006/relationships/hyperlink" Id="rId11" Target="03_TARGET_ARCHITECTURE.md" TargetMode="External" /><Relationship Type="http://schemas.openxmlformats.org/officeDocument/2006/relationships/hyperlink" Id="rId12" Target="04_IMPLEMENTATION_ROADMAP.md" TargetMode="External" /><Relationship Type="http://schemas.openxmlformats.org/officeDocument/2006/relationships/hyperlink" Id="rId13" Target="05_OPERATIONS_AND_ANTIPATTER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2026-08-14T14:55:28Z</dcterms:created>
  <dcterms:modified xsi:type="dcterms:W3CDTF">2026-08-14T14:55:28Z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