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DD13" w14:textId="77777777" w:rsidR="00365304" w:rsidRDefault="00000000" w:rsidP="00146B47">
      <w:pPr>
        <w:spacing w:beforeLines="20" w:before="48" w:afterLines="20" w:after="48"/>
        <w:jc w:val="center"/>
      </w:pPr>
      <w:r>
        <w:rPr>
          <w:rFonts w:ascii="Calibri" w:hAnsi="Calibri"/>
          <w:b/>
          <w:color w:val="102C57"/>
          <w:sz w:val="32"/>
        </w:rPr>
        <w:t>NILAYAN CHATTERJEE</w:t>
      </w:r>
    </w:p>
    <w:p w14:paraId="32DCEDCE" w14:textId="77777777" w:rsidR="00365304" w:rsidRDefault="00000000" w:rsidP="00146B47">
      <w:pPr>
        <w:spacing w:beforeLines="20" w:before="48" w:afterLines="20" w:after="48" w:line="240" w:lineRule="auto"/>
        <w:jc w:val="center"/>
      </w:pPr>
      <w:r>
        <w:rPr>
          <w:rFonts w:ascii="Calibri" w:hAnsi="Calibri"/>
          <w:b/>
          <w:color w:val="102C57"/>
          <w:sz w:val="19"/>
        </w:rPr>
        <w:t>Digital Commerce Consultant | Business Analyst | Consumer Goods &amp; Services (CG&amp;S) | Retail</w:t>
      </w:r>
    </w:p>
    <w:p w14:paraId="609BD1C0" w14:textId="77777777" w:rsidR="00365304" w:rsidRDefault="00000000" w:rsidP="00146B47">
      <w:pPr>
        <w:spacing w:beforeLines="20" w:before="48" w:afterLines="20" w:after="48" w:line="240" w:lineRule="auto"/>
        <w:jc w:val="center"/>
      </w:pPr>
      <w:r>
        <w:rPr>
          <w:rFonts w:ascii="Calibri" w:hAnsi="Calibri"/>
          <w:color w:val="5F6973"/>
          <w:sz w:val="17"/>
        </w:rPr>
        <w:t>Kolkata, India   |   +91 8017814232   |   nilayancworks@gmail.com   |   linkedin.com/in/nilayan-chatterjee-53513918b</w:t>
      </w:r>
    </w:p>
    <w:p w14:paraId="54CA8B64" w14:textId="77777777" w:rsidR="00365304" w:rsidRDefault="00000000" w:rsidP="00146B47">
      <w:pPr>
        <w:keepNext/>
        <w:pBdr>
          <w:bottom w:val="single" w:sz="12" w:space="2" w:color="102C57"/>
        </w:pBdr>
        <w:spacing w:beforeLines="20" w:before="48" w:afterLines="20" w:after="48"/>
      </w:pPr>
      <w:r>
        <w:rPr>
          <w:rFonts w:ascii="Calibri" w:hAnsi="Calibri"/>
          <w:b/>
          <w:color w:val="102C57"/>
          <w:sz w:val="20"/>
        </w:rPr>
        <w:t>PROFESSIONAL SUMMARY</w:t>
      </w:r>
    </w:p>
    <w:p w14:paraId="79525098" w14:textId="77777777" w:rsidR="00365304" w:rsidRDefault="00000000" w:rsidP="00146B47">
      <w:pPr>
        <w:spacing w:beforeLines="20" w:before="48" w:afterLines="20" w:after="48" w:line="240" w:lineRule="auto"/>
      </w:pPr>
      <w:r>
        <w:rPr>
          <w:rFonts w:ascii="Calibri" w:hAnsi="Calibri"/>
          <w:color w:val="212529"/>
          <w:sz w:val="18"/>
        </w:rPr>
        <w:t xml:space="preserve">Digital Commerce Consultant and Certified Business Analyst (ECBA) with </w:t>
      </w:r>
      <w:r>
        <w:rPr>
          <w:rFonts w:ascii="Calibri" w:hAnsi="Calibri"/>
          <w:b/>
          <w:color w:val="212529"/>
          <w:sz w:val="18"/>
        </w:rPr>
        <w:t>3+ years</w:t>
      </w:r>
      <w:r>
        <w:rPr>
          <w:rFonts w:ascii="Calibri" w:hAnsi="Calibri"/>
          <w:color w:val="212529"/>
          <w:sz w:val="18"/>
        </w:rPr>
        <w:t xml:space="preserve"> of cross-functional technology and digital transformation experience across global consumer and retail engagements. Proven track record leading digital storefront implementations, modern MarTech integrations, and consumer journey orchestration across Adobe Experience Manager (AEM EDS), Adobe Commerce (Magento), and SAP Commerce ecosystems. Adept at bridging consumer-centric business vision with technical execution, translating emerging AI-driven buying journeys and Agentic Commerce concepts into production-ready user stories, value realization frameworks, and high-converting touchpoints.</w:t>
      </w:r>
    </w:p>
    <w:p w14:paraId="65EACC2E" w14:textId="77777777" w:rsidR="00365304" w:rsidRDefault="00000000" w:rsidP="00146B47">
      <w:pPr>
        <w:keepNext/>
        <w:pBdr>
          <w:bottom w:val="single" w:sz="12" w:space="2" w:color="102C57"/>
        </w:pBdr>
        <w:spacing w:beforeLines="20" w:before="48" w:afterLines="20" w:after="48"/>
      </w:pPr>
      <w:r>
        <w:rPr>
          <w:rFonts w:ascii="Calibri" w:hAnsi="Calibri"/>
          <w:b/>
          <w:color w:val="102C57"/>
          <w:sz w:val="20"/>
        </w:rPr>
        <w:t>CORE COMPETENCIES &amp; DOMAIN EXPERTISE</w:t>
      </w:r>
    </w:p>
    <w:p w14:paraId="7BA7EF60" w14:textId="78DE1CA8" w:rsidR="00365304" w:rsidRDefault="00000000" w:rsidP="00146B47">
      <w:pPr>
        <w:pStyle w:val="ListBullet"/>
        <w:spacing w:beforeLines="20" w:before="48" w:afterLines="20" w:after="48" w:line="240" w:lineRule="auto"/>
        <w:ind w:left="357" w:hanging="357"/>
      </w:pPr>
      <w:r>
        <w:rPr>
          <w:rFonts w:ascii="Calibri" w:hAnsi="Calibri"/>
          <w:b/>
          <w:color w:val="212529"/>
          <w:sz w:val="18"/>
        </w:rPr>
        <w:t xml:space="preserve">Digital Commerce &amp; MarTech: </w:t>
      </w:r>
      <w:r>
        <w:rPr>
          <w:rFonts w:ascii="Calibri" w:hAnsi="Calibri"/>
          <w:color w:val="212529"/>
          <w:sz w:val="18"/>
        </w:rPr>
        <w:t>Modern Commerce Ecosystems, Composable &amp; Headless Architectures, Agentic Commerce &amp; Autonomous Buying Models, Omnichannel Consumer Journeys, Retail Media Integration</w:t>
      </w:r>
      <w:r w:rsidR="00146B47">
        <w:rPr>
          <w:rFonts w:ascii="Calibri" w:hAnsi="Calibri"/>
          <w:color w:val="212529"/>
          <w:sz w:val="18"/>
        </w:rPr>
        <w:t xml:space="preserve"> </w:t>
      </w:r>
      <w:r w:rsidR="00146B47">
        <w:rPr>
          <w:rFonts w:ascii="Calibri" w:hAnsi="Calibri"/>
          <w:color w:val="212529"/>
          <w:sz w:val="18"/>
        </w:rPr>
        <w:t>&amp; Personalization</w:t>
      </w:r>
      <w:r w:rsidR="00146B47">
        <w:rPr>
          <w:rFonts w:ascii="Calibri" w:hAnsi="Calibri"/>
          <w:color w:val="212529"/>
          <w:sz w:val="18"/>
        </w:rPr>
        <w:t>.</w:t>
      </w:r>
    </w:p>
    <w:p w14:paraId="749740F0" w14:textId="42CE762C" w:rsidR="00365304" w:rsidRDefault="00000000" w:rsidP="00146B47">
      <w:pPr>
        <w:pStyle w:val="ListBullet"/>
        <w:spacing w:beforeLines="20" w:before="48" w:afterLines="20" w:after="48" w:line="240" w:lineRule="auto"/>
        <w:ind w:left="357" w:hanging="357"/>
      </w:pPr>
      <w:r>
        <w:rPr>
          <w:rFonts w:ascii="Calibri" w:hAnsi="Calibri"/>
          <w:b/>
          <w:color w:val="212529"/>
          <w:sz w:val="18"/>
        </w:rPr>
        <w:t xml:space="preserve">Business Analysis &amp; Consulting: </w:t>
      </w:r>
      <w:r>
        <w:rPr>
          <w:rFonts w:ascii="Calibri" w:hAnsi="Calibri"/>
          <w:color w:val="212529"/>
          <w:sz w:val="18"/>
        </w:rPr>
        <w:t>Requirements Elicitation &amp; Scoping, BRD/FDD Authoring, Agile/Scrum Leadership, User Story Authoring, Acceptance Criteria Authoring, Stakeholder Demos &amp; Value Realization</w:t>
      </w:r>
      <w:r w:rsidR="00146B47">
        <w:rPr>
          <w:rFonts w:ascii="Calibri" w:hAnsi="Calibri"/>
          <w:color w:val="212529"/>
          <w:sz w:val="18"/>
        </w:rPr>
        <w:t xml:space="preserve"> (ROI/Commercial Impact)</w:t>
      </w:r>
      <w:r>
        <w:rPr>
          <w:rFonts w:ascii="Calibri" w:hAnsi="Calibri"/>
          <w:color w:val="212529"/>
          <w:sz w:val="18"/>
        </w:rPr>
        <w:t>.</w:t>
      </w:r>
    </w:p>
    <w:p w14:paraId="69A33C2F" w14:textId="684D6483" w:rsidR="00365304" w:rsidRDefault="00000000" w:rsidP="00146B47">
      <w:pPr>
        <w:pStyle w:val="ListBullet"/>
        <w:spacing w:beforeLines="20" w:before="48" w:afterLines="20" w:after="48" w:line="240" w:lineRule="auto"/>
        <w:ind w:left="357" w:hanging="357"/>
      </w:pPr>
      <w:r>
        <w:rPr>
          <w:rFonts w:ascii="Calibri" w:hAnsi="Calibri"/>
          <w:b/>
          <w:color w:val="212529"/>
          <w:sz w:val="18"/>
        </w:rPr>
        <w:t xml:space="preserve">Platforms &amp; Tooling: </w:t>
      </w:r>
      <w:r>
        <w:rPr>
          <w:rFonts w:ascii="Calibri" w:hAnsi="Calibri"/>
          <w:color w:val="212529"/>
          <w:sz w:val="18"/>
        </w:rPr>
        <w:t xml:space="preserve">Adobe Experience Cloud (AEM EDS, Adobe Commerce), SAP Commerce Cloud (CCV2), Jira, Confluence, Azure DevOps (ADO), Figma, Power BI, SQL, </w:t>
      </w:r>
      <w:r w:rsidR="00146B47">
        <w:rPr>
          <w:rFonts w:ascii="Calibri" w:hAnsi="Calibri"/>
          <w:color w:val="212529"/>
          <w:sz w:val="18"/>
        </w:rPr>
        <w:t xml:space="preserve">Microsoft Office, </w:t>
      </w:r>
      <w:r>
        <w:rPr>
          <w:rFonts w:ascii="Calibri" w:hAnsi="Calibri"/>
          <w:color w:val="212529"/>
          <w:sz w:val="18"/>
        </w:rPr>
        <w:t>Generative AI &amp; Agentic Orchestration Concepts.</w:t>
      </w:r>
    </w:p>
    <w:p w14:paraId="3648C0CD" w14:textId="77777777" w:rsidR="00365304" w:rsidRDefault="00000000" w:rsidP="00146B47">
      <w:pPr>
        <w:keepNext/>
        <w:pBdr>
          <w:bottom w:val="single" w:sz="12" w:space="2" w:color="102C57"/>
        </w:pBdr>
        <w:spacing w:beforeLines="20" w:before="48" w:afterLines="20" w:after="48"/>
      </w:pPr>
      <w:r>
        <w:rPr>
          <w:rFonts w:ascii="Calibri" w:hAnsi="Calibri"/>
          <w:b/>
          <w:color w:val="102C57"/>
          <w:sz w:val="20"/>
        </w:rPr>
        <w:t>PROFESSIONAL EXPERIENCE</w:t>
      </w:r>
    </w:p>
    <w:p w14:paraId="20193744" w14:textId="77777777" w:rsidR="00365304" w:rsidRDefault="00000000" w:rsidP="00146B47">
      <w:pPr>
        <w:keepNext/>
        <w:spacing w:beforeLines="20" w:before="48" w:afterLines="20" w:after="48" w:line="240" w:lineRule="auto"/>
      </w:pPr>
      <w:r>
        <w:rPr>
          <w:rFonts w:ascii="Calibri" w:hAnsi="Calibri"/>
          <w:b/>
          <w:color w:val="102C57"/>
          <w:sz w:val="19"/>
        </w:rPr>
        <w:t xml:space="preserve">Business Analyst — Digital Commerce &amp; EDS | </w:t>
      </w:r>
      <w:r>
        <w:rPr>
          <w:rFonts w:ascii="Calibri" w:hAnsi="Calibri"/>
          <w:b/>
          <w:color w:val="212529"/>
          <w:sz w:val="19"/>
        </w:rPr>
        <w:t>Accenture</w:t>
      </w:r>
      <w:r>
        <w:rPr>
          <w:rFonts w:ascii="Calibri" w:hAnsi="Calibri"/>
          <w:i/>
          <w:color w:val="5F6973"/>
          <w:sz w:val="18"/>
        </w:rPr>
        <w:t xml:space="preserve">  —  May 2026 — Present</w:t>
      </w:r>
    </w:p>
    <w:p w14:paraId="0269E76D"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Drove digital commerce feature realization and requirements management across </w:t>
      </w:r>
      <w:r>
        <w:rPr>
          <w:rFonts w:ascii="Calibri" w:hAnsi="Calibri"/>
          <w:b/>
          <w:color w:val="212529"/>
          <w:sz w:val="18"/>
        </w:rPr>
        <w:t>2 core tracks</w:t>
      </w:r>
      <w:r>
        <w:rPr>
          <w:rFonts w:ascii="Calibri" w:hAnsi="Calibri"/>
          <w:color w:val="212529"/>
          <w:sz w:val="18"/>
        </w:rPr>
        <w:t xml:space="preserve"> (AEM &amp; Commerce) for an enterprise consumer client, prioritizing a dynamic backlog across </w:t>
      </w:r>
      <w:r>
        <w:rPr>
          <w:rFonts w:ascii="Calibri" w:hAnsi="Calibri"/>
          <w:b/>
          <w:color w:val="212529"/>
          <w:sz w:val="18"/>
        </w:rPr>
        <w:t>4+ sprints</w:t>
      </w:r>
      <w:r>
        <w:rPr>
          <w:rFonts w:ascii="Calibri" w:hAnsi="Calibri"/>
          <w:color w:val="212529"/>
          <w:sz w:val="18"/>
        </w:rPr>
        <w:t>.</w:t>
      </w:r>
    </w:p>
    <w:p w14:paraId="33DFEB28"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Championed consumer journey orchestration and modern headless web experience delivery by authoring </w:t>
      </w:r>
      <w:r>
        <w:rPr>
          <w:rFonts w:ascii="Calibri" w:hAnsi="Calibri"/>
          <w:b/>
          <w:color w:val="212529"/>
          <w:sz w:val="18"/>
        </w:rPr>
        <w:t>25+ AEM EDS demo pages</w:t>
      </w:r>
      <w:r>
        <w:rPr>
          <w:rFonts w:ascii="Calibri" w:hAnsi="Calibri"/>
          <w:color w:val="212529"/>
          <w:sz w:val="18"/>
        </w:rPr>
        <w:t xml:space="preserve">, demonstrating new end-to-end purchasing capabilities to global client stakeholders with a </w:t>
      </w:r>
      <w:r>
        <w:rPr>
          <w:rFonts w:ascii="Calibri" w:hAnsi="Calibri"/>
          <w:b/>
          <w:color w:val="212529"/>
          <w:sz w:val="18"/>
        </w:rPr>
        <w:t>100% on-time review record</w:t>
      </w:r>
      <w:r>
        <w:rPr>
          <w:rFonts w:ascii="Calibri" w:hAnsi="Calibri"/>
          <w:color w:val="212529"/>
          <w:sz w:val="18"/>
        </w:rPr>
        <w:t xml:space="preserve"> and </w:t>
      </w:r>
      <w:r>
        <w:rPr>
          <w:rFonts w:ascii="Calibri" w:hAnsi="Calibri"/>
          <w:b/>
          <w:color w:val="212529"/>
          <w:sz w:val="18"/>
        </w:rPr>
        <w:t>0 client escalations</w:t>
      </w:r>
      <w:r>
        <w:rPr>
          <w:rFonts w:ascii="Calibri" w:hAnsi="Calibri"/>
          <w:color w:val="212529"/>
          <w:sz w:val="18"/>
        </w:rPr>
        <w:t>.</w:t>
      </w:r>
    </w:p>
    <w:p w14:paraId="304D3DF8"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Led end-to-end functional validation, executing User Acceptance Testing (UAT) and Product Owner sign-offs for </w:t>
      </w:r>
      <w:r>
        <w:rPr>
          <w:rFonts w:ascii="Calibri" w:hAnsi="Calibri"/>
          <w:b/>
          <w:color w:val="212529"/>
          <w:sz w:val="18"/>
        </w:rPr>
        <w:t>50+ EDS and commerce stories</w:t>
      </w:r>
      <w:r>
        <w:rPr>
          <w:rFonts w:ascii="Calibri" w:hAnsi="Calibri"/>
          <w:color w:val="212529"/>
          <w:sz w:val="18"/>
        </w:rPr>
        <w:t xml:space="preserve">, achieving </w:t>
      </w:r>
      <w:r>
        <w:rPr>
          <w:rFonts w:ascii="Calibri" w:hAnsi="Calibri"/>
          <w:b/>
          <w:color w:val="212529"/>
          <w:sz w:val="18"/>
        </w:rPr>
        <w:t>0 critical defects</w:t>
      </w:r>
      <w:r>
        <w:rPr>
          <w:rFonts w:ascii="Calibri" w:hAnsi="Calibri"/>
          <w:color w:val="212529"/>
          <w:sz w:val="18"/>
        </w:rPr>
        <w:t xml:space="preserve"> in production releases.</w:t>
      </w:r>
    </w:p>
    <w:p w14:paraId="1E4F14CF"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Facilitated daily cross-functional design alignment sessions using Figma to detect and remediate </w:t>
      </w:r>
      <w:r>
        <w:rPr>
          <w:rFonts w:ascii="Calibri" w:hAnsi="Calibri"/>
          <w:b/>
          <w:color w:val="212529"/>
          <w:sz w:val="18"/>
        </w:rPr>
        <w:t>30+ UI/UX and journey defects</w:t>
      </w:r>
      <w:r>
        <w:rPr>
          <w:rFonts w:ascii="Calibri" w:hAnsi="Calibri"/>
          <w:color w:val="212529"/>
          <w:sz w:val="18"/>
        </w:rPr>
        <w:t xml:space="preserve"> before engineering handover, boosting front-end build efficiency by </w:t>
      </w:r>
      <w:r>
        <w:rPr>
          <w:rFonts w:ascii="Calibri" w:hAnsi="Calibri"/>
          <w:b/>
          <w:color w:val="212529"/>
          <w:sz w:val="18"/>
        </w:rPr>
        <w:t>15%</w:t>
      </w:r>
      <w:r>
        <w:rPr>
          <w:rFonts w:ascii="Calibri" w:hAnsi="Calibri"/>
          <w:color w:val="212529"/>
          <w:sz w:val="18"/>
        </w:rPr>
        <w:t>.</w:t>
      </w:r>
    </w:p>
    <w:p w14:paraId="5ADE0823"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Collaborated with cross-functional engineering teams during weekly refinement sessions to size Levels of Effort (LoE) and define technical acceptance criteria across </w:t>
      </w:r>
      <w:r>
        <w:rPr>
          <w:rFonts w:ascii="Calibri" w:hAnsi="Calibri"/>
          <w:b/>
          <w:color w:val="212529"/>
          <w:sz w:val="18"/>
        </w:rPr>
        <w:t>40+ user stories</w:t>
      </w:r>
      <w:r>
        <w:rPr>
          <w:rFonts w:ascii="Calibri" w:hAnsi="Calibri"/>
          <w:color w:val="212529"/>
          <w:sz w:val="18"/>
        </w:rPr>
        <w:t xml:space="preserve">, maintaining </w:t>
      </w:r>
      <w:r>
        <w:rPr>
          <w:rFonts w:ascii="Calibri" w:hAnsi="Calibri"/>
          <w:b/>
          <w:color w:val="212529"/>
          <w:sz w:val="18"/>
        </w:rPr>
        <w:t>100% individual chargeability</w:t>
      </w:r>
      <w:r>
        <w:rPr>
          <w:rFonts w:ascii="Calibri" w:hAnsi="Calibri"/>
          <w:color w:val="212529"/>
          <w:sz w:val="18"/>
        </w:rPr>
        <w:t>.</w:t>
      </w:r>
    </w:p>
    <w:p w14:paraId="12EB16BC" w14:textId="77777777" w:rsidR="00365304" w:rsidRDefault="00000000" w:rsidP="00146B47">
      <w:pPr>
        <w:keepNext/>
        <w:spacing w:beforeLines="20" w:before="48" w:afterLines="20" w:after="48" w:line="240" w:lineRule="auto"/>
      </w:pPr>
      <w:r>
        <w:rPr>
          <w:rFonts w:ascii="Calibri" w:hAnsi="Calibri"/>
          <w:b/>
          <w:color w:val="102C57"/>
          <w:sz w:val="19"/>
        </w:rPr>
        <w:t xml:space="preserve">Scrum Master &amp; Business Analyst — Commerce Platforms | </w:t>
      </w:r>
      <w:r>
        <w:rPr>
          <w:rFonts w:ascii="Calibri" w:hAnsi="Calibri"/>
          <w:b/>
          <w:color w:val="212529"/>
          <w:sz w:val="19"/>
        </w:rPr>
        <w:t>Accenture</w:t>
      </w:r>
      <w:r>
        <w:rPr>
          <w:rFonts w:ascii="Calibri" w:hAnsi="Calibri"/>
          <w:i/>
          <w:color w:val="5F6973"/>
          <w:sz w:val="18"/>
        </w:rPr>
        <w:t xml:space="preserve">  —  Nov 2025 — Apr 2026</w:t>
      </w:r>
    </w:p>
    <w:p w14:paraId="5FD3F2FA"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Governed agile delivery and backlog execution as dual-track Scrum Master and BA for the PCM Key Variant squad, facilitating </w:t>
      </w:r>
      <w:r>
        <w:rPr>
          <w:rFonts w:ascii="Calibri" w:hAnsi="Calibri"/>
          <w:b/>
          <w:color w:val="212529"/>
          <w:sz w:val="18"/>
        </w:rPr>
        <w:t>5+ Agile ceremonies and cadence calls per sprint</w:t>
      </w:r>
      <w:r>
        <w:rPr>
          <w:rFonts w:ascii="Calibri" w:hAnsi="Calibri"/>
          <w:color w:val="212529"/>
          <w:sz w:val="18"/>
        </w:rPr>
        <w:t xml:space="preserve"> to achieve </w:t>
      </w:r>
      <w:r>
        <w:rPr>
          <w:rFonts w:ascii="Calibri" w:hAnsi="Calibri"/>
          <w:b/>
          <w:color w:val="212529"/>
          <w:sz w:val="18"/>
        </w:rPr>
        <w:t>100% on-time milestone delivery</w:t>
      </w:r>
      <w:r>
        <w:rPr>
          <w:rFonts w:ascii="Calibri" w:hAnsi="Calibri"/>
          <w:color w:val="212529"/>
          <w:sz w:val="18"/>
        </w:rPr>
        <w:t>.</w:t>
      </w:r>
    </w:p>
    <w:p w14:paraId="611D4200"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Managed and prioritized a product backlog of </w:t>
      </w:r>
      <w:r>
        <w:rPr>
          <w:rFonts w:ascii="Calibri" w:hAnsi="Calibri"/>
          <w:b/>
          <w:color w:val="212529"/>
          <w:sz w:val="18"/>
        </w:rPr>
        <w:t>20+ user stories</w:t>
      </w:r>
      <w:r>
        <w:rPr>
          <w:rFonts w:ascii="Calibri" w:hAnsi="Calibri"/>
          <w:color w:val="212529"/>
          <w:sz w:val="18"/>
        </w:rPr>
        <w:t xml:space="preserve"> in Jira, tracking sprint health via burn-down charts to enhance delivery predictability by </w:t>
      </w:r>
      <w:r>
        <w:rPr>
          <w:rFonts w:ascii="Calibri" w:hAnsi="Calibri"/>
          <w:b/>
          <w:color w:val="212529"/>
          <w:sz w:val="18"/>
        </w:rPr>
        <w:t>20%</w:t>
      </w:r>
      <w:r>
        <w:rPr>
          <w:rFonts w:ascii="Calibri" w:hAnsi="Calibri"/>
          <w:color w:val="212529"/>
          <w:sz w:val="18"/>
        </w:rPr>
        <w:t>.</w:t>
      </w:r>
    </w:p>
    <w:p w14:paraId="3A79EA65"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Elicited and documented </w:t>
      </w:r>
      <w:r>
        <w:rPr>
          <w:rFonts w:ascii="Calibri" w:hAnsi="Calibri"/>
          <w:b/>
          <w:color w:val="212529"/>
          <w:sz w:val="18"/>
        </w:rPr>
        <w:t>30+ business requirements</w:t>
      </w:r>
      <w:r>
        <w:rPr>
          <w:rFonts w:ascii="Calibri" w:hAnsi="Calibri"/>
          <w:color w:val="212529"/>
          <w:sz w:val="18"/>
        </w:rPr>
        <w:t xml:space="preserve"> and process flows across </w:t>
      </w:r>
      <w:r>
        <w:rPr>
          <w:rFonts w:ascii="Calibri" w:hAnsi="Calibri"/>
          <w:b/>
          <w:color w:val="212529"/>
          <w:sz w:val="18"/>
        </w:rPr>
        <w:t>10+ Confluence BRD pages</w:t>
      </w:r>
      <w:r>
        <w:rPr>
          <w:rFonts w:ascii="Calibri" w:hAnsi="Calibri"/>
          <w:color w:val="212529"/>
          <w:sz w:val="18"/>
        </w:rPr>
        <w:t xml:space="preserve">, reducing requirement ambiguity, dependency friction, and downstream rework by </w:t>
      </w:r>
      <w:r>
        <w:rPr>
          <w:rFonts w:ascii="Calibri" w:hAnsi="Calibri"/>
          <w:b/>
          <w:color w:val="212529"/>
          <w:sz w:val="18"/>
        </w:rPr>
        <w:t>~15%</w:t>
      </w:r>
      <w:r>
        <w:rPr>
          <w:rFonts w:ascii="Calibri" w:hAnsi="Calibri"/>
          <w:color w:val="212529"/>
          <w:sz w:val="18"/>
        </w:rPr>
        <w:t>.</w:t>
      </w:r>
    </w:p>
    <w:p w14:paraId="7221E9D9"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Authored and delivered </w:t>
      </w:r>
      <w:r>
        <w:rPr>
          <w:rFonts w:ascii="Calibri" w:hAnsi="Calibri"/>
          <w:b/>
          <w:color w:val="212529"/>
          <w:sz w:val="18"/>
        </w:rPr>
        <w:t>10 core user stories</w:t>
      </w:r>
      <w:r>
        <w:rPr>
          <w:rFonts w:ascii="Calibri" w:hAnsi="Calibri"/>
          <w:color w:val="212529"/>
          <w:sz w:val="18"/>
        </w:rPr>
        <w:t xml:space="preserve">, </w:t>
      </w:r>
      <w:r>
        <w:rPr>
          <w:rFonts w:ascii="Calibri" w:hAnsi="Calibri"/>
          <w:b/>
          <w:color w:val="212529"/>
          <w:sz w:val="18"/>
        </w:rPr>
        <w:t>7 technical tasks</w:t>
      </w:r>
      <w:r>
        <w:rPr>
          <w:rFonts w:ascii="Calibri" w:hAnsi="Calibri"/>
          <w:color w:val="212529"/>
          <w:sz w:val="18"/>
        </w:rPr>
        <w:t xml:space="preserve">, and </w:t>
      </w:r>
      <w:r>
        <w:rPr>
          <w:rFonts w:ascii="Calibri" w:hAnsi="Calibri"/>
          <w:b/>
          <w:color w:val="212529"/>
          <w:sz w:val="18"/>
        </w:rPr>
        <w:t>70+ Acceptance Criteria (ACs)</w:t>
      </w:r>
      <w:r>
        <w:rPr>
          <w:rFonts w:ascii="Calibri" w:hAnsi="Calibri"/>
          <w:color w:val="212529"/>
          <w:sz w:val="18"/>
        </w:rPr>
        <w:t xml:space="preserve"> incorporating WCAG 2.1 digital accessibility standards, achieving </w:t>
      </w:r>
      <w:r>
        <w:rPr>
          <w:rFonts w:ascii="Calibri" w:hAnsi="Calibri"/>
          <w:b/>
          <w:color w:val="212529"/>
          <w:sz w:val="18"/>
        </w:rPr>
        <w:t>100% compliance</w:t>
      </w:r>
      <w:r>
        <w:rPr>
          <w:rFonts w:ascii="Calibri" w:hAnsi="Calibri"/>
          <w:color w:val="212529"/>
          <w:sz w:val="18"/>
        </w:rPr>
        <w:t xml:space="preserve"> on enterprise usability audits.</w:t>
      </w:r>
    </w:p>
    <w:p w14:paraId="1A151CC6" w14:textId="77777777" w:rsidR="00365304" w:rsidRDefault="00000000" w:rsidP="00146B47">
      <w:pPr>
        <w:keepNext/>
        <w:spacing w:beforeLines="20" w:before="48" w:afterLines="20" w:after="48" w:line="240" w:lineRule="auto"/>
      </w:pPr>
      <w:r>
        <w:rPr>
          <w:rFonts w:ascii="Calibri" w:hAnsi="Calibri"/>
          <w:b/>
          <w:color w:val="102C57"/>
          <w:sz w:val="19"/>
        </w:rPr>
        <w:t xml:space="preserve">Product Management Intern | </w:t>
      </w:r>
      <w:r>
        <w:rPr>
          <w:rFonts w:ascii="Calibri" w:hAnsi="Calibri"/>
          <w:b/>
          <w:color w:val="212529"/>
          <w:sz w:val="19"/>
        </w:rPr>
        <w:t>Tally Solutions Pvt Ltd</w:t>
      </w:r>
      <w:r>
        <w:rPr>
          <w:rFonts w:ascii="Calibri" w:hAnsi="Calibri"/>
          <w:i/>
          <w:color w:val="5F6973"/>
          <w:sz w:val="18"/>
        </w:rPr>
        <w:t xml:space="preserve">  —  Apr 2024 — May 2024</w:t>
      </w:r>
    </w:p>
    <w:p w14:paraId="36FDA3FC"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Spearheaded user workflow redesign for document-sharing interactions, delivering an optimized process flow that achieved a </w:t>
      </w:r>
      <w:r>
        <w:rPr>
          <w:rFonts w:ascii="Calibri" w:hAnsi="Calibri"/>
          <w:b/>
          <w:color w:val="212529"/>
          <w:sz w:val="18"/>
        </w:rPr>
        <w:t>70% reduction in end-to-end task turnaround time</w:t>
      </w:r>
      <w:r>
        <w:rPr>
          <w:rFonts w:ascii="Calibri" w:hAnsi="Calibri"/>
          <w:color w:val="212529"/>
          <w:sz w:val="18"/>
        </w:rPr>
        <w:t>.</w:t>
      </w:r>
    </w:p>
    <w:p w14:paraId="3B88BC09"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Conducted in-depth competitive benchmarking across </w:t>
      </w:r>
      <w:r>
        <w:rPr>
          <w:rFonts w:ascii="Calibri" w:hAnsi="Calibri"/>
          <w:b/>
          <w:color w:val="212529"/>
          <w:sz w:val="18"/>
        </w:rPr>
        <w:t>10 competitors</w:t>
      </w:r>
      <w:r>
        <w:rPr>
          <w:rFonts w:ascii="Calibri" w:hAnsi="Calibri"/>
          <w:color w:val="212529"/>
          <w:sz w:val="18"/>
        </w:rPr>
        <w:t xml:space="preserve"> and synthesized qualitative feedback from </w:t>
      </w:r>
      <w:r>
        <w:rPr>
          <w:rFonts w:ascii="Calibri" w:hAnsi="Calibri"/>
          <w:b/>
          <w:color w:val="212529"/>
          <w:sz w:val="18"/>
        </w:rPr>
        <w:t>200+ target users</w:t>
      </w:r>
      <w:r>
        <w:rPr>
          <w:rFonts w:ascii="Calibri" w:hAnsi="Calibri"/>
          <w:color w:val="212529"/>
          <w:sz w:val="18"/>
        </w:rPr>
        <w:t xml:space="preserve"> to identify unmet functional pain points.</w:t>
      </w:r>
    </w:p>
    <w:p w14:paraId="07A275AC"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Segmented target market behaviors into </w:t>
      </w:r>
      <w:r>
        <w:rPr>
          <w:rFonts w:ascii="Calibri" w:hAnsi="Calibri"/>
          <w:b/>
          <w:color w:val="212529"/>
          <w:sz w:val="18"/>
        </w:rPr>
        <w:t>6 distinct customer personas</w:t>
      </w:r>
      <w:r>
        <w:rPr>
          <w:rFonts w:ascii="Calibri" w:hAnsi="Calibri"/>
          <w:color w:val="212529"/>
          <w:sz w:val="18"/>
        </w:rPr>
        <w:t xml:space="preserve"> and prioritized </w:t>
      </w:r>
      <w:r>
        <w:rPr>
          <w:rFonts w:ascii="Calibri" w:hAnsi="Calibri"/>
          <w:b/>
          <w:color w:val="212529"/>
          <w:sz w:val="18"/>
        </w:rPr>
        <w:t>12 critical use cases</w:t>
      </w:r>
      <w:r>
        <w:rPr>
          <w:rFonts w:ascii="Calibri" w:hAnsi="Calibri"/>
          <w:color w:val="212529"/>
          <w:sz w:val="18"/>
        </w:rPr>
        <w:t xml:space="preserve">, translating customer requirements into </w:t>
      </w:r>
      <w:r>
        <w:rPr>
          <w:rFonts w:ascii="Calibri" w:hAnsi="Calibri"/>
          <w:b/>
          <w:color w:val="212529"/>
          <w:sz w:val="18"/>
        </w:rPr>
        <w:t>10 high-fidelity interactive wireframes</w:t>
      </w:r>
      <w:r>
        <w:rPr>
          <w:rFonts w:ascii="Calibri" w:hAnsi="Calibri"/>
          <w:color w:val="212529"/>
          <w:sz w:val="18"/>
        </w:rPr>
        <w:t>.</w:t>
      </w:r>
    </w:p>
    <w:p w14:paraId="7E88F723" w14:textId="77777777" w:rsidR="00365304" w:rsidRDefault="00000000" w:rsidP="00146B47">
      <w:pPr>
        <w:keepNext/>
        <w:spacing w:beforeLines="20" w:before="48" w:afterLines="20" w:after="48" w:line="240" w:lineRule="auto"/>
      </w:pPr>
      <w:r>
        <w:rPr>
          <w:rFonts w:ascii="Calibri" w:hAnsi="Calibri"/>
          <w:b/>
          <w:color w:val="102C57"/>
          <w:sz w:val="19"/>
        </w:rPr>
        <w:t xml:space="preserve">Junior Software Developer | </w:t>
      </w:r>
      <w:r>
        <w:rPr>
          <w:rFonts w:ascii="Calibri" w:hAnsi="Calibri"/>
          <w:b/>
          <w:color w:val="212529"/>
          <w:sz w:val="19"/>
        </w:rPr>
        <w:t>Cognizant</w:t>
      </w:r>
      <w:r>
        <w:rPr>
          <w:rFonts w:ascii="Calibri" w:hAnsi="Calibri"/>
          <w:i/>
          <w:color w:val="5F6973"/>
          <w:sz w:val="18"/>
        </w:rPr>
        <w:t xml:space="preserve">  —  Aug 2021 — May 2023</w:t>
      </w:r>
    </w:p>
    <w:p w14:paraId="677DE7A2"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Investigated enterprise system workflows, application logs, and database tables using SQL to diagnose and resolve </w:t>
      </w:r>
      <w:r>
        <w:rPr>
          <w:rFonts w:ascii="Calibri" w:hAnsi="Calibri"/>
          <w:b/>
          <w:color w:val="212529"/>
          <w:sz w:val="18"/>
        </w:rPr>
        <w:t>700+ platform issues and defects</w:t>
      </w:r>
      <w:r>
        <w:rPr>
          <w:rFonts w:ascii="Calibri" w:hAnsi="Calibri"/>
          <w:color w:val="212529"/>
          <w:sz w:val="18"/>
        </w:rPr>
        <w:t xml:space="preserve">, maintaining a </w:t>
      </w:r>
      <w:r>
        <w:rPr>
          <w:rFonts w:ascii="Calibri" w:hAnsi="Calibri"/>
          <w:b/>
          <w:color w:val="212529"/>
          <w:sz w:val="18"/>
        </w:rPr>
        <w:t>98% SLA compliance rate</w:t>
      </w:r>
      <w:r>
        <w:rPr>
          <w:rFonts w:ascii="Calibri" w:hAnsi="Calibri"/>
          <w:color w:val="212529"/>
          <w:sz w:val="18"/>
        </w:rPr>
        <w:t>.</w:t>
      </w:r>
    </w:p>
    <w:p w14:paraId="642C1DAC" w14:textId="77777777" w:rsidR="00365304" w:rsidRDefault="00000000" w:rsidP="00146B47">
      <w:pPr>
        <w:pStyle w:val="ListBullet"/>
        <w:spacing w:beforeLines="20" w:before="48" w:afterLines="20" w:after="48" w:line="240" w:lineRule="auto"/>
        <w:ind w:left="357" w:hanging="357"/>
      </w:pPr>
      <w:r>
        <w:rPr>
          <w:rFonts w:ascii="Calibri" w:hAnsi="Calibri"/>
          <w:color w:val="212529"/>
          <w:sz w:val="18"/>
        </w:rPr>
        <w:t xml:space="preserve">Automated recurring data validation and triage processes across </w:t>
      </w:r>
      <w:r>
        <w:rPr>
          <w:rFonts w:ascii="Calibri" w:hAnsi="Calibri"/>
          <w:b/>
          <w:color w:val="212529"/>
          <w:sz w:val="18"/>
        </w:rPr>
        <w:t>3 client-facing platforms</w:t>
      </w:r>
      <w:r>
        <w:rPr>
          <w:rFonts w:ascii="Calibri" w:hAnsi="Calibri"/>
          <w:color w:val="212529"/>
          <w:sz w:val="18"/>
        </w:rPr>
        <w:t xml:space="preserve">, eliminating </w:t>
      </w:r>
      <w:r>
        <w:rPr>
          <w:rFonts w:ascii="Calibri" w:hAnsi="Calibri"/>
          <w:b/>
          <w:color w:val="212529"/>
          <w:sz w:val="18"/>
        </w:rPr>
        <w:t>~10 hours of manual operational effort weekly</w:t>
      </w:r>
      <w:r>
        <w:rPr>
          <w:rFonts w:ascii="Calibri" w:hAnsi="Calibri"/>
          <w:color w:val="212529"/>
          <w:sz w:val="18"/>
        </w:rPr>
        <w:t>.</w:t>
      </w:r>
    </w:p>
    <w:p w14:paraId="0B7B37F0" w14:textId="77777777" w:rsidR="00365304" w:rsidRDefault="00000000" w:rsidP="00146B47">
      <w:pPr>
        <w:keepNext/>
        <w:pBdr>
          <w:bottom w:val="single" w:sz="12" w:space="2" w:color="102C57"/>
        </w:pBdr>
        <w:spacing w:beforeLines="20" w:before="48" w:afterLines="20" w:after="48"/>
      </w:pPr>
      <w:r>
        <w:rPr>
          <w:rFonts w:ascii="Calibri" w:hAnsi="Calibri"/>
          <w:b/>
          <w:color w:val="102C57"/>
          <w:sz w:val="20"/>
        </w:rPr>
        <w:t>EDUCATION &amp; CERTIFICATIONS</w:t>
      </w:r>
    </w:p>
    <w:p w14:paraId="111DAD9C" w14:textId="77777777" w:rsidR="00365304" w:rsidRDefault="00000000" w:rsidP="00146B47">
      <w:pPr>
        <w:pStyle w:val="ListBullet"/>
        <w:spacing w:beforeLines="20" w:before="48" w:afterLines="20" w:after="48" w:line="269" w:lineRule="auto"/>
      </w:pPr>
      <w:r>
        <w:rPr>
          <w:rFonts w:ascii="Calibri" w:hAnsi="Calibri"/>
          <w:b/>
          <w:color w:val="212529"/>
          <w:sz w:val="18"/>
        </w:rPr>
        <w:t xml:space="preserve">Post Graduate Diploma in Management (MBA) — </w:t>
      </w:r>
      <w:r>
        <w:rPr>
          <w:rFonts w:ascii="Calibri" w:hAnsi="Calibri"/>
          <w:color w:val="212529"/>
          <w:sz w:val="18"/>
        </w:rPr>
        <w:t xml:space="preserve">Goa Institute of Management (2023 — 2025)   |   </w:t>
      </w:r>
      <w:r>
        <w:rPr>
          <w:rFonts w:ascii="Calibri" w:hAnsi="Calibri"/>
          <w:b/>
          <w:color w:val="212529"/>
          <w:sz w:val="18"/>
        </w:rPr>
        <w:t xml:space="preserve">B.Tech in Electronics &amp; Communication — </w:t>
      </w:r>
      <w:r>
        <w:rPr>
          <w:rFonts w:ascii="Calibri" w:hAnsi="Calibri"/>
          <w:color w:val="212529"/>
          <w:sz w:val="18"/>
        </w:rPr>
        <w:t>Techno Main Salt Lake (2017 — 2021)</w:t>
      </w:r>
    </w:p>
    <w:p w14:paraId="3A99EEB9" w14:textId="77777777" w:rsidR="00365304" w:rsidRDefault="00000000" w:rsidP="00146B47">
      <w:pPr>
        <w:pStyle w:val="ListBullet"/>
        <w:spacing w:beforeLines="20" w:before="48" w:afterLines="20" w:after="48" w:line="269" w:lineRule="auto"/>
      </w:pPr>
      <w:r>
        <w:rPr>
          <w:rFonts w:ascii="Calibri" w:hAnsi="Calibri"/>
          <w:b/>
          <w:color w:val="212529"/>
          <w:sz w:val="18"/>
        </w:rPr>
        <w:t xml:space="preserve">ECBA™ (Entry Certificate in Business Analysis) — </w:t>
      </w:r>
      <w:r>
        <w:rPr>
          <w:rFonts w:ascii="Calibri" w:hAnsi="Calibri"/>
          <w:color w:val="212529"/>
          <w:sz w:val="18"/>
        </w:rPr>
        <w:t xml:space="preserve">IIBA (Certified)   |   </w:t>
      </w:r>
      <w:r>
        <w:rPr>
          <w:rFonts w:ascii="Calibri" w:hAnsi="Calibri"/>
          <w:b/>
          <w:color w:val="212529"/>
          <w:sz w:val="18"/>
        </w:rPr>
        <w:t xml:space="preserve">Reinvention with Agentic AI — </w:t>
      </w:r>
      <w:r>
        <w:rPr>
          <w:rFonts w:ascii="Calibri" w:hAnsi="Calibri"/>
          <w:color w:val="212529"/>
          <w:sz w:val="18"/>
        </w:rPr>
        <w:t>Accenture Certified (2026)</w:t>
      </w:r>
    </w:p>
    <w:sectPr w:rsidR="00365304"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6358587">
    <w:abstractNumId w:val="8"/>
  </w:num>
  <w:num w:numId="2" w16cid:durableId="869688157">
    <w:abstractNumId w:val="6"/>
  </w:num>
  <w:num w:numId="3" w16cid:durableId="1439835258">
    <w:abstractNumId w:val="5"/>
  </w:num>
  <w:num w:numId="4" w16cid:durableId="1839032366">
    <w:abstractNumId w:val="4"/>
  </w:num>
  <w:num w:numId="5" w16cid:durableId="1339040315">
    <w:abstractNumId w:val="7"/>
  </w:num>
  <w:num w:numId="6" w16cid:durableId="1868518398">
    <w:abstractNumId w:val="3"/>
  </w:num>
  <w:num w:numId="7" w16cid:durableId="558326236">
    <w:abstractNumId w:val="2"/>
  </w:num>
  <w:num w:numId="8" w16cid:durableId="1240482757">
    <w:abstractNumId w:val="1"/>
  </w:num>
  <w:num w:numId="9" w16cid:durableId="32906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B47"/>
    <w:rsid w:val="0015074B"/>
    <w:rsid w:val="0029639D"/>
    <w:rsid w:val="00326F90"/>
    <w:rsid w:val="00365304"/>
    <w:rsid w:val="007522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BD434"/>
  <w14:defaultImageDpi w14:val="300"/>
  <w15:docId w15:val="{46515F6A-AE27-48AA-AAED-DA9D2CFD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Nilayan Chatterjee</cp:lastModifiedBy>
  <cp:revision>2</cp:revision>
  <dcterms:created xsi:type="dcterms:W3CDTF">2013-12-23T23:15:00Z</dcterms:created>
  <dcterms:modified xsi:type="dcterms:W3CDTF">2026-09-02T13:00:00Z</dcterms:modified>
  <cp:category/>
</cp:coreProperties>
</file>