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 SPEC</w:t>
        <w:br/>
        <w:t>UAV HÍBRIDO VTOL</w:t>
      </w:r>
    </w:p>
    <w:p>
      <w:pPr>
        <w:jc w:val="center"/>
      </w:pPr>
      <w:r>
        <w:rPr>
          <w:color w:val="465A69"/>
          <w:sz w:val="26"/>
        </w:rPr>
        <w:t>Aeronave cargueira e de resgate — especificação e lista mestra de compras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43652"/>
          </w:tcPr>
          <w:p>
            <w:r/>
            <w:r>
              <w:rPr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A — configuração conceitual consolidada</w:t>
            </w:r>
          </w:p>
        </w:tc>
      </w:tr>
      <w:tr>
        <w:tc>
          <w:tcPr>
            <w:tcW w:type="dxa" w:w="5156"/>
            <w:vAlign w:val="center"/>
            <w:shd w:fill="143652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5156"/>
            <w:vAlign w:val="center"/>
            <w:shd w:fill="143652"/>
          </w:tcPr>
          <w:p>
            <w:r/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8"/>
              </w:rPr>
              <w:t>Tech Spec + BOM + fichas técnicas individuais</w:t>
            </w:r>
          </w:p>
        </w:tc>
      </w:tr>
      <w:tr>
        <w:tc>
          <w:tcPr>
            <w:tcW w:type="dxa" w:w="5156"/>
            <w:vAlign w:val="center"/>
            <w:shd w:fill="14365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/>
                <w:color w:val="AA0000"/>
                <w:sz w:val="18"/>
              </w:rPr>
              <w:t>NÃO LIBERADO PARA FABRICAÇÃO OU COMPRA INTEGRAL</w:t>
            </w:r>
          </w:p>
        </w:tc>
      </w:tr>
    </w:tbl>
    <w:p/>
    <w:p>
      <w:pPr>
        <w:jc w:val="center"/>
      </w:pPr>
      <w:r>
        <w:rPr>
          <w:b/>
          <w:color w:val="965000"/>
          <w:sz w:val="20"/>
        </w:rPr>
        <w:t>Documento de engenharia preliminar. Modelos comerciais citados são candidatos e exigem fechamento dos gates técnicos.</w:t>
      </w:r>
    </w:p>
    <w:p>
      <w:r>
        <w:br w:type="page"/>
      </w:r>
    </w:p>
    <w:p>
      <w:pPr>
        <w:pStyle w:val="Heading1"/>
        <w:spacing w:before="200" w:after="100"/>
      </w:pPr>
      <w:r>
        <w:t>1. Finalidade e controle de maturidade</w:t>
      </w:r>
    </w:p>
    <w:p>
      <w:r>
        <w:t>Este documento consolida a configuração atual da aeronave, transforma a arquitetura em requisitos de compra verificáveis e fornece uma ficha técnica individual para cada linha da BOM. A prioridade é impedir compras prematuras de componentes que dependem de MTOW, cargas, energia ou ensaios ainda abertos.</w:t>
      </w:r>
    </w:p>
    <w:p>
      <w:pPr>
        <w:pStyle w:val="ListBullet"/>
        <w:spacing w:after="40"/>
      </w:pPr>
      <w:r>
        <w:t>Arquitetura aceita: Função e arquitetura aprovadas; modelo comercial ainda pode mudar após integração.</w:t>
      </w:r>
    </w:p>
    <w:p>
      <w:pPr>
        <w:pStyle w:val="ListBullet"/>
        <w:spacing w:after="40"/>
      </w:pPr>
      <w:r>
        <w:t>Candidato: Modelo plausível identificado, aguardando dimensionamento/ensaio.</w:t>
      </w:r>
    </w:p>
    <w:p>
      <w:pPr>
        <w:pStyle w:val="ListBullet"/>
        <w:spacing w:after="40"/>
      </w:pPr>
      <w:r>
        <w:t>Candidato — compra bloqueada: Não emitir pedido antes do gate técnico indicado.</w:t>
      </w:r>
    </w:p>
    <w:p>
      <w:pPr>
        <w:pStyle w:val="ListBullet"/>
        <w:spacing w:after="40"/>
      </w:pPr>
      <w:r>
        <w:t>TBD: Requisito funcional definido; fornecedor e part number não selecionados.</w:t>
      </w:r>
    </w:p>
    <w:p>
      <w:pPr>
        <w:pStyle w:val="ListBullet"/>
        <w:spacing w:after="40"/>
      </w:pPr>
      <w:r>
        <w:t>TBD crítico: Item de segurança/desempenho; requer cálculo, desenho ou análise antes da seleção.</w:t>
      </w:r>
    </w:p>
    <w:p>
      <w:pPr>
        <w:pStyle w:val="ListBullet"/>
        <w:spacing w:after="40"/>
      </w:pPr>
      <w:r>
        <w:t>Sob medida: Deve ser projetado/fabricado a partir de desenho liberado.</w:t>
      </w:r>
    </w:p>
    <w:p>
      <w:pPr>
        <w:pStyle w:val="ListBullet"/>
        <w:spacing w:after="40"/>
      </w:pPr>
      <w:r>
        <w:t>Opcional / candidato: Equipamento de missão opcional, sujeito ao perfil operacional e orçamento.</w:t>
      </w:r>
    </w:p>
    <w:p>
      <w:pPr>
        <w:pStyle w:val="Heading1"/>
        <w:spacing w:before="200" w:after="100"/>
      </w:pPr>
      <w:r>
        <w:t>2. Especificação técnica consolidada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43652"/>
          </w:tcPr>
          <w:p>
            <w:r/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156"/>
            <w:vAlign w:val="center"/>
            <w:shd w:fill="143652"/>
          </w:tcPr>
          <w:p>
            <w:r/>
            <w:r>
              <w:rPr>
                <w:b/>
                <w:color w:val="FFFFFF"/>
                <w:sz w:val="18"/>
              </w:rPr>
              <w:t>Valor / requisito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UAV cargueiro/de resgate híbrido VTOL de asa fixa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Configuração conceitual consolidada; não liberada para fabricação ou compra integral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Envergadura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4,20 m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Comprimento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2,85 m (envelope atual; requisito inicial 2,6–3,0 m)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Área alar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2,604 m²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Corda raiz / ponta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0,820 m / 0,420 m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Afilamento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0,512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Corda aerodinâmica média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0,6415 m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Alongamento geométrico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AR ≈ 6,77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Empenagem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Cauda em V, ângulo consolidado de 40°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Carga útil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Até 5 kg — meta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Alcance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400 km — meta a validar por ensaio de consumo e reserva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Velocidade CFD de referência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25 m/s, α = 0°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Centro de gravidade alvo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x ≈ 1,05–1,085 m; referência de momentos x = 1,07 m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Propulsão VTOL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4 motores elétricos 12S em naceles inclináveis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Pivôs dianteiros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x = 0,600 m; inclinação de cruzeiro para frente: −90°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Pivôs traseiros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x = 2,000 m; inclinação de cruzeiro para trás: +90°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Propulsão de cruzeiro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Motor traseiro a gasolina em configuração pusher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/>
                <w:sz w:val="17"/>
              </w:rPr>
              <w:t>Geração elétrica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7"/>
              </w:rPr>
              <w:t>Starter-generator dedicado; motores VTOL não são assumidos como geradores nesta revisão</w:t>
            </w:r>
          </w:p>
        </w:tc>
      </w:tr>
      <w:tr>
        <w:tc>
          <w:tcPr>
            <w:tcW w:type="dxa" w:w="5156"/>
            <w:vAlign w:val="center"/>
            <w:shd w:fill="EAF0F4"/>
          </w:tcPr>
          <w:p>
            <w:r/>
            <w:r>
              <w:rPr>
                <w:b/>
                <w:sz w:val="17"/>
              </w:rPr>
              <w:t>MTOW</w:t>
            </w:r>
          </w:p>
        </w:tc>
        <w:tc>
          <w:tcPr>
            <w:tcW w:type="dxa" w:w="5156"/>
            <w:vAlign w:val="center"/>
            <w:shd w:fill="EAF0F4"/>
          </w:tcPr>
          <w:p>
            <w:r/>
            <w:r>
              <w:rPr>
                <w:b w:val="0"/>
                <w:sz w:val="17"/>
              </w:rPr>
              <w:t>TBD — gate obrigatório antes da compra de motores, ESCs, pack, tilt, estrutura e paraquedas</w:t>
            </w:r>
          </w:p>
        </w:tc>
      </w:tr>
    </w:tbl>
    <w:p>
      <w:pPr>
        <w:pStyle w:val="Heading1"/>
        <w:spacing w:before="200" w:after="100"/>
      </w:pPr>
      <w:r>
        <w:t>3. Arquitetura operacional</w:t>
      </w:r>
    </w:p>
    <w:p>
      <w:r>
        <w:t>Decolagem e pouso são verticais com quatro rotores elétricos. Depois de atingir altitude e condições de transição, o motor traseiro a gasolina é acionado e assume o cruzeiro. Um starter-generator dedicado realiza a partida e pode alimentar o barramento/recarregar a bateria dentro dos limites elétricos e térmicos. Nesta revisão, os quatro motores VTOL não são usados como geradores.</w:t>
      </w:r>
    </w:p>
    <w:p>
      <w:pPr>
        <w:pStyle w:val="ListBullet"/>
        <w:spacing w:after="40"/>
      </w:pPr>
      <w:r>
        <w:t>Dianteiros: pivôs em x=0,600 m; inclinam para frente até −90° no cruzeiro.</w:t>
      </w:r>
    </w:p>
    <w:p>
      <w:pPr>
        <w:pStyle w:val="ListBullet"/>
        <w:spacing w:after="40"/>
      </w:pPr>
      <w:r>
        <w:t>Traseiros: pivôs em x=2,000 m; inclinam para trás até +90° no cruzeiro.</w:t>
      </w:r>
    </w:p>
    <w:p>
      <w:pPr>
        <w:pStyle w:val="ListBullet"/>
        <w:spacing w:after="40"/>
      </w:pPr>
      <w:r>
        <w:t>Cruzeiro: motor a gasolina traseiro em configuração pusher.</w:t>
      </w:r>
    </w:p>
    <w:p>
      <w:pPr>
        <w:pStyle w:val="ListBullet"/>
        <w:spacing w:after="40"/>
      </w:pPr>
      <w:r>
        <w:t>Carga útil: meta de até 5 kg; alcance: meta de 400 km.</w:t>
      </w:r>
    </w:p>
    <w:p>
      <w:pPr>
        <w:pStyle w:val="Heading1"/>
        <w:spacing w:before="200" w:after="100"/>
      </w:pPr>
      <w:r>
        <w:t>4. Intertravamento dos tilt-rotors</w:t>
      </w:r>
    </w:p>
    <w:p>
      <w:r>
        <w:t>O movimento de uma nacele é proibido enquanto a hélice correspondente não estiver parada, indexada e protegida contra reenergização. A lógica deve ser independente por rotor e tolerante a uma falha simples detectável.</w:t>
      </w:r>
    </w:p>
    <w:p>
      <w:pPr>
        <w:pStyle w:val="ListBullet"/>
        <w:spacing w:after="40"/>
      </w:pPr>
      <w:r>
        <w:t>Comandar torque zero e confirmar desligamento do ESC.</w:t>
      </w:r>
    </w:p>
    <w:p>
      <w:pPr>
        <w:pStyle w:val="ListBullet"/>
        <w:spacing w:after="40"/>
      </w:pPr>
      <w:r>
        <w:t>Confirmar RPM abaixo do limite seguro por sensor independente.</w:t>
      </w:r>
    </w:p>
    <w:p>
      <w:pPr>
        <w:pStyle w:val="ListBullet"/>
        <w:spacing w:after="40"/>
      </w:pPr>
      <w:r>
        <w:t>Indexar a hélice dentro da janela angular definida no CAD.</w:t>
      </w:r>
    </w:p>
    <w:p>
      <w:pPr>
        <w:pStyle w:val="ListBullet"/>
        <w:spacing w:after="40"/>
      </w:pPr>
      <w:r>
        <w:t>Confirmar caminho livre e liberar a trava mecânica da posição atual.</w:t>
      </w:r>
    </w:p>
    <w:p>
      <w:pPr>
        <w:pStyle w:val="ListBullet"/>
        <w:spacing w:after="40"/>
      </w:pPr>
      <w:r>
        <w:t>Mover a nacele com velocidade/torque monitorados.</w:t>
      </w:r>
    </w:p>
    <w:p>
      <w:pPr>
        <w:pStyle w:val="ListBullet"/>
        <w:spacing w:after="40"/>
      </w:pPr>
      <w:r>
        <w:t>Engatar a trava mecânica da nova posição e confirmar com dois sinais coerentes.</w:t>
      </w:r>
    </w:p>
    <w:p>
      <w:pPr>
        <w:pStyle w:val="ListBullet"/>
        <w:spacing w:after="40"/>
      </w:pPr>
      <w:r>
        <w:t>Somente então permitir nova energização do motor.</w:t>
      </w:r>
    </w:p>
    <w:p>
      <w:r>
        <w:t>Falha ou discordância: interromper a transição, manter/retornar à última posição mecanicamente segura e bloquear a reenergização do rotor afetado. O mecanismo não pode depender apenas do torque de retenção do atuador.</w:t>
      </w:r>
    </w:p>
    <w:p>
      <w:pPr>
        <w:pStyle w:val="Heading1"/>
        <w:spacing w:before="200" w:after="100"/>
      </w:pPr>
      <w:r>
        <w:t>5. Orçamento de massa e centro de gravidade</w:t>
      </w:r>
    </w:p>
    <w:p>
      <w:r>
        <w:t>O MTOW ainda não está fechado. O alvo de CG é x≈1,05–1,085 m, com referência de momentos em x=1,07 m. O marcador antigo em x=1,35 m e massas históricas do documento Arduino não são válidos para liberação. A planilha de massa deve conter massa, tolerância e posição x/y/z de cada item, combustível em estados cheio/reserva/vazio e carga útil em todos os envelopes.</w:t>
      </w:r>
    </w:p>
    <w:p>
      <w:pPr>
        <w:pStyle w:val="ListBullet"/>
        <w:spacing w:after="40"/>
      </w:pPr>
      <w:r>
        <w:t>Gate G1: nenhum conjunto VTOL, pack, tilt, estrutura ou paraquedas deve ser comprado antes do fechamento de MTOW/CG.</w:t>
      </w:r>
    </w:p>
    <w:p>
      <w:pPr>
        <w:pStyle w:val="ListBullet"/>
        <w:spacing w:after="40"/>
      </w:pPr>
      <w:r>
        <w:t>Critério inicial do VTOL: empuxo total medido ≥1,5× o peso máximo de decolagem.</w:t>
      </w:r>
    </w:p>
    <w:p>
      <w:pPr>
        <w:pStyle w:val="Heading1"/>
        <w:spacing w:before="200" w:after="100"/>
      </w:pPr>
      <w:r>
        <w:t>6. Energia e geração</w:t>
      </w:r>
    </w:p>
    <w:p>
      <w:r>
        <w:t>A arquitetura conceitual usa barramento 12S. O pack 12S4P com 48 células P45B é apenas candidato: 43,2 V e 18 Ah nominais, cerca de 777,6 Wh e 3,31 kg somente em células. Interconexões, contenção, BMS/monitor, contatores, fusíveis e margem térmica aumentam massa e devem ser projetados por profissional qualificado.</w:t>
      </w:r>
    </w:p>
    <w:p>
      <w:pPr>
        <w:pStyle w:val="ListBullet"/>
        <w:spacing w:after="40"/>
      </w:pPr>
      <w:r>
        <w:t>A aviónica essencial possui alimentação de reserva independente e OR-ing.</w:t>
      </w:r>
    </w:p>
    <w:p>
      <w:pPr>
        <w:pStyle w:val="ListBullet"/>
        <w:spacing w:after="40"/>
      </w:pPr>
      <w:r>
        <w:t>O Raspberry Pi recebe DC/DC dedicado e redundante; não depende apenas da saída do power module.</w:t>
      </w:r>
    </w:p>
    <w:p>
      <w:pPr>
        <w:pStyle w:val="ListBullet"/>
        <w:spacing w:after="40"/>
      </w:pPr>
      <w:r>
        <w:t>A regeneração do starter-generator deve limitar tensão/corrente e suportar rejeição súbita de carga.</w:t>
      </w:r>
    </w:p>
    <w:p>
      <w:pPr>
        <w:pStyle w:val="Heading1"/>
        <w:spacing w:before="200" w:after="100"/>
      </w:pPr>
      <w:r>
        <w:t>7. Validação disponível e limitações</w:t>
      </w:r>
    </w:p>
    <w:p>
      <w:r>
        <w:t>O caso CFD base usa OpenFOAM 14 a 25 m/s e α=0°, com 269.773 células. O resultado preliminar médio reportado entre passos 140–150 foi Cd≈0,06546, Cl≈−0,01247 e Cm≈0,01091. Como não há camadas de parede nem representação das hélices/esteiras, os números servem para verificar o fluxo de trabalho, não para congelar o projeto.</w:t>
      </w:r>
    </w:p>
    <w:p>
      <w:pPr>
        <w:pStyle w:val="Heading1"/>
        <w:spacing w:before="200" w:after="100"/>
      </w:pPr>
      <w:r>
        <w:t>8. Gates de liberação</w:t>
      </w:r>
    </w:p>
    <w:p>
      <w:pPr>
        <w:pStyle w:val="ListBullet"/>
        <w:spacing w:after="40"/>
      </w:pPr>
      <w:r>
        <w:t>G1 — Massa/CG: MTOW, centros de massa, combustível e carga útil fechados.</w:t>
      </w:r>
    </w:p>
    <w:p>
      <w:pPr>
        <w:pStyle w:val="ListBullet"/>
        <w:spacing w:after="40"/>
      </w:pPr>
      <w:r>
        <w:t>G2 — VTOL: Empuxo, corrente, temperatura, vibração e falha de um motor demonstrados.</w:t>
      </w:r>
    </w:p>
    <w:p>
      <w:pPr>
        <w:pStyle w:val="ListBullet"/>
        <w:spacing w:after="40"/>
      </w:pPr>
      <w:r>
        <w:t>G3 — Cruzeiro: Empuxo, consumo, partida em voo, alcance de 400 km e reserva demonstrados.</w:t>
      </w:r>
    </w:p>
    <w:p>
      <w:pPr>
        <w:pStyle w:val="ListBullet"/>
        <w:spacing w:after="40"/>
      </w:pPr>
      <w:r>
        <w:t>G4 — Tilt: Pivôs, cargas, folgas, indexação, travas e análise de falhas aprovados.</w:t>
      </w:r>
    </w:p>
    <w:p>
      <w:pPr>
        <w:pStyle w:val="ListBullet"/>
        <w:spacing w:after="40"/>
      </w:pPr>
      <w:r>
        <w:t>G5 — Energia: Pack, proteções, redundância e starter-generator validados.</w:t>
      </w:r>
    </w:p>
    <w:p>
      <w:pPr>
        <w:pStyle w:val="ListBullet"/>
        <w:spacing w:after="40"/>
      </w:pPr>
      <w:r>
        <w:t>G6 — Estrutura: FEA, cargas limite/última e provas estáticas concluídas.</w:t>
      </w:r>
    </w:p>
    <w:p>
      <w:pPr>
        <w:pStyle w:val="ListBullet"/>
        <w:spacing w:after="40"/>
      </w:pPr>
      <w:r>
        <w:t>G7 — Segurança: Paraquedas, failsafes, regulamentação e plano de ensaios aprovados.</w:t>
      </w:r>
    </w:p>
    <w:p>
      <w:pPr>
        <w:sectPr>
          <w:headerReference w:type="default" r:id="rId9"/>
          <w:footerReference w:type="default" r:id="rId10"/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t>9. Lista mestra de compras — 71 linhas</w:t>
      </w:r>
    </w:p>
    <w:p>
      <w:r>
        <w:t>Cada linha possui ficha técnica individual na pasta “Data sheets”. Quantidade de materiais a granel e ferragens deve ser convertida em quantidade final após desenhos de fabricação.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1"/>
        </w:trPr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Categoria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Qtd.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Maturidade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Candidato/modelo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Liberação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DS-001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Controlador de voo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Arquitetura aceita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Holybro Pixhawk 6X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Revisão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DS-002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Computador de missão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Arquitetura aceita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Raspberry Pi 5 — 8 GB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Revisão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DS-003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Refrigerador do computador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Raspberry Pi Active Cooler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DS-004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Módulo GNSS/RTK + magnetômetro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Holybro H-RTK NEO-F9P + RM3100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DS-005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Sensor de velocidade do ar + pitot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Holybro MS5525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DS-006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Altímetro laser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LightWare SF11/C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DS-007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Missão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Câmera RGB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Raspberry Pi Camera Module 3 Wide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DS-008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Missão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Câmera térmica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Opcional / candidato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Teledyne FLIR Boson 320 ou 640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DS-009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Armazenamento de missão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microSD High Endurance ou NVMe industrial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DS-010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Buzzer e localizador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Buzzer ativo + beacon independente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DS-011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Aviónica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Módulo de relógio RTC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RTC industrial com bateria/supercapacitor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DS-012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Comunicação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Rádio telemetria de bordo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RFD900x-BR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DS-013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Comunicação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Rádio telemetria de solo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RFD900x-BR USB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DS-014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Comunicação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Conjunto de antenas e cabos RF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Antenas 900 MHz + cabos coaxiais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DS-015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Comunicação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Modem 4G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Waveshare SIM7600G-H 4G HAT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DS-016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Comunicação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Antenas LTE/GNSS do modem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Antenas compatíveis com SIM7600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DS-017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Propulsão VTOL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Motor elétrico de sustentação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 — compra bloqueada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T-Motor U10 II KV100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DS-018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Propulsão VTOL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ESC dos motores de sustentação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Candidato — compra bloqueada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T-Motor ALPHA 80A 12S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DS-019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Propulsão VTOL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Hélice VTOL CW 30×10,5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2 + 1 reserva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 — compra bloqueada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T-Motor G30×10.5 CW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DS-020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Propulsão VTOL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Hélice VTOL CCW 30×10,5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2 + 1 reserva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Candidato — compra bloqueada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T-Motor G30×10.5 CCW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DS-021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Tilt-rotor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Atuador de inclinação da nacele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Atuador eletromecânico industrial com feedback absoluto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DS-022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Tilt-rotor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Trava mecânica da nacele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Pino/trava fail-safe com sensor duplo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DS-023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Tilt-rotor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Sensor de indexação/parada da hélice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Encoder/Hall redundante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DS-024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Tilt-rotor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Mancais e eixo do pivô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4 kits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Rolamentos selados + eixo 7075/aço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DS-025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Motor a gasolina pusher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 — compra bloqueada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DLE35RA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DS-026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Hélice pusher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19×8 ou 20×8 pusher compatível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DS-027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Servo de aceleração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Servo HV metal gear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DS-028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Módulo de corte da ignição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Kill switch optoisolado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DS-029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Sensor de RPM do motor térmico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Sensor Hall/óptico isolado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DS-030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Motor elétrico starter-generator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BLDC dimensionado para partida e geração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DS-031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Controlador bidirecional starter-generator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Inversor/retificador BLDC bidirecional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DS-032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Propulsão cruzeiro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Embreagem/roda livre e transmissão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Roda livre + correia/engrenagem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DS-033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Combustível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Tanque ou bladder de combustível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Capacidade geométrica inicial 4 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DS-034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Combustível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Kit de linhas, filtro, clunk e respiro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Componentes compatíveis com gasolina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DS-035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Combustível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Válvula de corte de combustível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Válvula fail-safe compatível com gasolina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1"/>
        </w:trPr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Categoria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Qtd.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Maturidade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Candidato/modelo</w:t>
            </w:r>
          </w:p>
        </w:tc>
        <w:tc>
          <w:tcPr>
            <w:tcW w:type="dxa" w:w="2069"/>
            <w:vAlign w:val="center"/>
            <w:shd w:fill="143652"/>
          </w:tcPr>
          <w:p>
            <w:r/>
            <w:r>
              <w:rPr>
                <w:b/>
                <w:color w:val="FFFFFF"/>
                <w:sz w:val="14"/>
              </w:rPr>
              <w:t>Liberação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DS-036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Combustível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Sensor de nível/fluxo de combustível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Sensor compatível com gasolina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DS-037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Célula Li-ion 21700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 — compra bloqueada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Molicel INR-21700-P45B; pack conceitual 12S4P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DS-038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BMS/monitor de células 12S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BMS aeronáutico ou monitor independente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DS-039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Contator principal HV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Contator DC ≥60 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DS-040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Circuito de pré-carga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Resistor + relé/contator de pré-carga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DS-041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Fusível principal HV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+ 2 reservas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Fusível DC aeronáutico/EV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DS-042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Distribuidor/barramento de potência HV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Sob medida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PDB/busbar 12S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DS-043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Módulo de medição de potência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Candidato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Holybro PM08-CAN ou solução equivalente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DS-044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Conversor DC/DC 5 V 5 A isolado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Conversores industriais redundantes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DS-045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Conversor DC/DC 12 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Conversor industrial 12S→12 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DS-046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Bateria reserva de aviónica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Pack LiFePO4 independente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DS-047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Módulo ideal-diode/OR-ing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OR-ing de duas fontes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DS-048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Conectores antifaísca HV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AS150 ou equivalente qualificado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DS-049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Cabos de potência e sinal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Cabos flexíveis aeronáuticos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DS-050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Energia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Sensores de temperatura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NTC/PT1000 digitais/analógicos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DS-051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Controles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Servo de aileron HV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2 + 1 reserva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Servo digital industrial metal gear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DS-052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Controles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Servo de ruddervator da cauda V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2 + 1 reserva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Servo digital industrial metal gear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DS-053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Controles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Servo de porta/liberação de carga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Servo ou atuador com trava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DS-054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Controles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Hinges, horns e pushrods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Ferragens aeronáuticas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DS-055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Longarinas/tubos de fibra de carbono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Tubos/pultrudados com certificado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DS-056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Tecido de carbono e epóxi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Sistema laminado aeronáutico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DS-057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Núcleo de espuma/honeycomb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PVC estrutural ou honeycomb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DS-058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Compensado aeronáutico/firewall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Compensado birch aeronáutico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DS-059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Perfis/chapas de alumínio 7075-T6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Material com certificado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DS-060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Fixadores e porcas travantes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lote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Classe aeronáutica, tamanhos por desenho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DS-061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Coxins antivibração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Isoladores motor/aviónica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DS-062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Trem de pouso/skids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conjunto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Compósito/alumínio absorvente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DS-063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Estrutura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Proteção térmica e corta-fogo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Manta/barreira compatível com gasolina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DS-064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Segurança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Sistema de paraquedas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Fruity Chutes ou equivalente dimensionado pelo MTOW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DS-065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Segurança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Controlador de terminação/recuperação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Controlador independente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DS-066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Segurança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Luzes de navegação e anticolisão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LEDs aeronáuticos de alta intensidade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DS-067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Solo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Carregador/balanceador 12S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Carregador CC/CV com logging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DS-068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Solo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Gabinete de armazenamento de baterias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Armário resistente ao fogo ventilado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DS-069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Solo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Bancada de empuxo e célula de carga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 crítico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Bancada ≥15 kgf por motor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sz w:val="13"/>
              </w:rPr>
              <w:t>DS-070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Solo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Tacômetro e instrumentos elétricos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1 kit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 w:val="0"/>
                <w:sz w:val="13"/>
              </w:rPr>
              <w:t>Tacômetro óptico + analisador DC</w:t>
            </w:r>
          </w:p>
        </w:tc>
        <w:tc>
          <w:tcPr>
            <w:tcW w:type="dxa" w:w="2069"/>
            <w:vAlign w:val="center"/>
            <w:shd w:fill="EAF0F4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  <w:tr>
        <w:trPr>
          <w:cantSplit w:val="1"/>
        </w:trPr>
        <w:tc>
          <w:tcPr>
            <w:tcW w:type="dxa" w:w="2069"/>
            <w:vAlign w:val="center"/>
          </w:tcPr>
          <w:p>
            <w:r/>
            <w:r>
              <w:rPr>
                <w:b/>
                <w:sz w:val="13"/>
              </w:rPr>
              <w:t>DS-071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Solo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Estação de controle em solo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TBD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 w:val="0"/>
                <w:sz w:val="13"/>
              </w:rPr>
              <w:t>Notebook robusto com Mission Planner/QGroundControl</w:t>
            </w:r>
          </w:p>
        </w:tc>
        <w:tc>
          <w:tcPr>
            <w:tcW w:type="dxa" w:w="2069"/>
            <w:vAlign w:val="center"/>
          </w:tcPr>
          <w:p>
            <w:r/>
            <w:r>
              <w:rPr>
                <w:b/>
                <w:color w:val="A00000"/>
                <w:sz w:val="13"/>
              </w:rPr>
              <w:t>Bloqueada</w:t>
            </w:r>
          </w:p>
        </w:tc>
      </w:tr>
    </w:tbl>
    <w:p>
      <w:pPr>
        <w:sectPr>
          <w:headerReference w:type="default" r:id="rId11"/>
          <w:footerReference w:type="default" r:id="rId12"/>
          <w:type w:val="nextColumn"/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t>10. Rastreabilidade e fontes</w:t>
      </w:r>
    </w:p>
    <w:p>
      <w:r>
        <w:t>Fontes principais: modelo FreeCAD atual, caso OpenFOAM atual, conversa de consolidação e documentação histórica do projeto Arduino. Quando houve conflito, prevaleceu a geometria paramétrica atual; números antigos de asa/massa foram tratados como superados. Os links oficiais completos estão nas fichas técnicas individuais.</w:t>
      </w:r>
    </w:p>
    <w:p>
      <w:pPr>
        <w:pStyle w:val="Heading1"/>
        <w:spacing w:before="200" w:after="100"/>
      </w:pPr>
      <w:r>
        <w:t>11. Próximas decisões</w:t>
      </w:r>
    </w:p>
    <w:p>
      <w:pPr>
        <w:pStyle w:val="ListBullet"/>
        <w:spacing w:after="40"/>
      </w:pPr>
      <w:r>
        <w:t>Preencher orçamento de massa/CG com tolerâncias.</w:t>
      </w:r>
    </w:p>
    <w:p>
      <w:pPr>
        <w:pStyle w:val="ListBullet"/>
        <w:spacing w:after="40"/>
      </w:pPr>
      <w:r>
        <w:t>Construir bancada e medir os conjuntos de propulsão.</w:t>
      </w:r>
    </w:p>
    <w:p>
      <w:pPr>
        <w:pStyle w:val="ListBullet"/>
        <w:spacing w:after="40"/>
      </w:pPr>
      <w:r>
        <w:t>Dimensionar mecanicamente cada pivô/trava e congelar a janela de indexação das pás.</w:t>
      </w:r>
    </w:p>
    <w:p>
      <w:pPr>
        <w:pStyle w:val="ListBullet"/>
        <w:spacing w:after="40"/>
      </w:pPr>
      <w:r>
        <w:t>Fechar o balanço de energia, a estratégia de recarga e o pack.</w:t>
      </w:r>
    </w:p>
    <w:p>
      <w:pPr>
        <w:pStyle w:val="ListBullet"/>
        <w:spacing w:after="40"/>
      </w:pPr>
      <w:r>
        <w:t>Atualizar CFD e executar FEA/provas estruturais.</w:t>
      </w:r>
    </w:p>
    <w:p>
      <w:pPr>
        <w:pStyle w:val="ListBullet"/>
        <w:spacing w:after="40"/>
      </w:pPr>
      <w:r>
        <w:t>Revisar a BOM após cada gate e somente então liberar part numbers.</w:t>
      </w:r>
    </w:p>
    <w:sectPr w:rsidR="00FC693F" w:rsidRPr="0006063C" w:rsidSect="00034616">
      <w:headerReference w:type="default" r:id="rId13"/>
      <w:footerReference w:type="default" r:id="rId14"/>
      <w:type w:val="continuous"/>
      <w:pgSz w:w="15840" w:h="122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</w:r>
    <w:r>
      <w:rPr>
        <w:sz w:val="15"/>
      </w:rPr>
      <w:t xml:space="preserve">Documento preliminar — compra condicionada aos gates técnicos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</w:r>
    <w:r>
      <w:rPr>
        <w:sz w:val="15"/>
      </w:rPr>
      <w:t xml:space="preserve">Documento preliminar — compra condicionada aos gates técnicos |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</w:r>
    <w:r>
      <w:rPr>
        <w:sz w:val="15"/>
      </w:rPr>
      <w:t xml:space="preserve">Documento preliminar — compra condicionada aos gates técnicos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3"/>
        <w:sz w:val="15"/>
      </w:rPr>
      <w:t>TECH SPEC — UAV HÍBRIDO VTOL | REV. 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3"/>
        <w:sz w:val="15"/>
      </w:rPr>
      <w:t>TECH SPEC — UAV HÍBRIDO VTOL | REV. 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3"/>
        <w:sz w:val="15"/>
      </w:rPr>
      <w:t>TECH SPEC — UAV HÍBRIDO VTOL | REV.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6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6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65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65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Spec — UAV Híbrido VTOL</dc:title>
  <dc:subject>Especificação técnica e lista mestra de compras</dc:subject>
  <dc:creator>Projeto Drone — documento consolidado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