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0"/>
        <w:jc w:val="center"/>
      </w:pPr>
      <w:r>
        <w:rPr>
          <w:rFonts w:ascii="Arial" w:cs="Arial" w:eastAsia="Arial" w:hAnsi="Arial"/>
          <w:b/>
          <w:bCs/>
          <w:caps/>
          <w:color w:val="1B3A6B"/>
          <w:sz w:val="60"/>
          <w:szCs w:val="60"/>
        </w:rPr>
        <w:t xml:space="preserve">US PUBLIC COMPANY</w:t>
      </w:r>
    </w:p>
    <w:p>
      <w:pPr>
        <w:spacing w:after="0"/>
        <w:jc w:val="center"/>
      </w:pPr>
      <w:r>
        <w:rPr>
          <w:rFonts w:ascii="Arial" w:cs="Arial" w:eastAsia="Arial" w:hAnsi="Arial"/>
          <w:b/>
          <w:bCs/>
          <w:color w:val="2563EB"/>
          <w:sz w:val="52"/>
          <w:szCs w:val="52"/>
        </w:rPr>
        <w:t xml:space="preserve">Financial &amp; Regulatory Document</w:t>
      </w:r>
    </w:p>
    <w:p>
      <w:pPr>
        <w:spacing w:after="200"/>
        <w:jc w:val="center"/>
      </w:pPr>
      <w:r>
        <w:rPr>
          <w:rFonts w:ascii="Arial" w:cs="Arial" w:eastAsia="Arial" w:hAnsi="Arial"/>
          <w:b/>
          <w:bCs/>
          <w:color w:val="2563EB"/>
          <w:sz w:val="52"/>
          <w:szCs w:val="52"/>
        </w:rPr>
        <w:t xml:space="preserve">Reference Guide</w:t>
      </w:r>
    </w:p>
    <w:p>
      <w:pPr>
        <w:pBdr>
          <w:bottom w:val="single" w:color="0EA5E9" w:sz="12" w:space="1"/>
        </w:pBdr>
        <w:spacing w:after="200"/>
      </w:pPr>
    </w:p>
    <w:p>
      <w:pPr>
        <w:spacing w:after="400"/>
        <w:jc w:val="center"/>
      </w:pPr>
      <w:r>
        <w:rPr>
          <w:rFonts w:ascii="Arial" w:cs="Arial" w:eastAsia="Arial" w:hAnsi="Arial"/>
          <w:i/>
          <w:iCs/>
          <w:color w:val="475569"/>
          <w:sz w:val="22"/>
          <w:szCs w:val="22"/>
        </w:rPr>
        <w:t xml:space="preserve">A Comprehensive Research Report on SEC Filings, Exchange Disclosures, Banking Regulatory Reports &amp; All Public Documents Required of Listed Companies in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jc w:val="center"/>
            </w:pPr>
            <w:r>
              <w:rPr>
                <w:rFonts w:ascii="Arial" w:cs="Arial" w:eastAsia="Arial" w:hAnsi="Arial"/>
                <w:b/>
                <w:bCs/>
                <w:color w:val="6B7280"/>
                <w:sz w:val="16"/>
                <w:szCs w:val="16"/>
              </w:rPr>
              <w:t xml:space="preserve">Prepared</w:t>
            </w:r>
          </w:p>
          <w:p>
            <w:pPr>
              <w:jc w:val="center"/>
            </w:pPr>
            <w:r>
              <w:rPr>
                <w:rFonts w:ascii="Arial" w:cs="Arial" w:eastAsia="Arial" w:hAnsi="Arial"/>
                <w:b/>
                <w:bCs/>
                <w:color w:val="1B3A6B"/>
                <w:sz w:val="20"/>
                <w:szCs w:val="20"/>
              </w:rPr>
              <w:t xml:space="preserve">February 2025</w:t>
            </w:r>
          </w:p>
        </w:tc>
        <w:tc>
          <w:tcPr>
            <w:tcW w:type="dxa" w:w="3120"/>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jc w:val="center"/>
            </w:pPr>
            <w:r>
              <w:rPr>
                <w:rFonts w:ascii="Arial" w:cs="Arial" w:eastAsia="Arial" w:hAnsi="Arial"/>
                <w:b/>
                <w:bCs/>
                <w:color w:val="6B7280"/>
                <w:sz w:val="16"/>
                <w:szCs w:val="16"/>
              </w:rPr>
              <w:t xml:space="preserve">Jurisdiction</w:t>
            </w:r>
          </w:p>
          <w:p>
            <w:pPr>
              <w:jc w:val="center"/>
            </w:pPr>
            <w:r>
              <w:rPr>
                <w:rFonts w:ascii="Arial" w:cs="Arial" w:eastAsia="Arial" w:hAnsi="Arial"/>
                <w:b/>
                <w:bCs/>
                <w:color w:val="1B3A6B"/>
                <w:sz w:val="20"/>
                <w:szCs w:val="20"/>
              </w:rPr>
              <w:t xml:space="preserve">United States</w:t>
            </w:r>
          </w:p>
        </w:tc>
        <w:tc>
          <w:tcPr>
            <w:tcW w:type="dxa" w:w="3120"/>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jc w:val="center"/>
            </w:pPr>
            <w:r>
              <w:rPr>
                <w:rFonts w:ascii="Arial" w:cs="Arial" w:eastAsia="Arial" w:hAnsi="Arial"/>
                <w:b/>
                <w:bCs/>
                <w:color w:val="6B7280"/>
                <w:sz w:val="16"/>
                <w:szCs w:val="16"/>
              </w:rPr>
              <w:t xml:space="preserve">Sources</w:t>
            </w:r>
          </w:p>
          <w:p>
            <w:pPr>
              <w:jc w:val="center"/>
            </w:pPr>
            <w:r>
              <w:rPr>
                <w:rFonts w:ascii="Arial" w:cs="Arial" w:eastAsia="Arial" w:hAnsi="Arial"/>
                <w:b/>
                <w:bCs/>
                <w:color w:val="1B3A6B"/>
                <w:sz w:val="20"/>
                <w:szCs w:val="20"/>
              </w:rPr>
              <w:t xml:space="preserve">SEC, FDIC, FFIEC, OCC, Fed</w:t>
            </w:r>
          </w:p>
        </w:tc>
      </w:tr>
    </w:tbl>
    <w:p>
      <w:pPr>
        <w:spacing w:after="400"/>
      </w:pPr>
    </w:p>
    <w:p>
      <w:r>
        <w:br w:type="page"/>
      </w:r>
    </w:p>
    <w:p>
      <w:pPr>
        <w:pStyle w:val="Heading1"/>
        <w:spacing w:before="480" w:after="120"/>
      </w:pPr>
      <w:r>
        <w:rPr>
          <w:rFonts w:ascii="Arial" w:cs="Arial" w:eastAsia="Arial" w:hAnsi="Arial"/>
          <w:b/>
          <w:bCs/>
          <w:color w:val="1B3A6B"/>
          <w:sz w:val="36"/>
          <w:szCs w:val="36"/>
        </w:rPr>
        <w:t xml:space="preserve">1. Executive Summary</w:t>
      </w:r>
    </w:p>
    <w:p>
      <w:pPr>
        <w:pBdr>
          <w:bottom w:val="single" w:color="1B3A6B" w:sz="12" w:space="1"/>
        </w:pBdr>
        <w:spacing w:after="200"/>
      </w:pPr>
    </w:p>
    <w:p>
      <w:pPr>
        <w:spacing w:after="140"/>
      </w:pPr>
      <w:r>
        <w:rPr>
          <w:rFonts w:ascii="Arial" w:cs="Arial" w:eastAsia="Arial" w:hAnsi="Arial"/>
          <w:color w:val="111827"/>
          <w:sz w:val="20"/>
          <w:szCs w:val="20"/>
        </w:rPr>
        <w:t xml:space="preserve">This reference guide provides a complete taxonomy of every financial, regulatory, and disclosure document that publicly listed companies in the United States are required — or commonly elect — to file with the U.S. Securities and Exchange Commission (SEC), stock exchanges (NYSE, NASDAQ, CBOE), federal banking regulators, and other government bodies.</w:t>
      </w:r>
    </w:p>
    <w:p>
      <w:pPr>
        <w:spacing w:after="140"/>
      </w:pPr>
      <w:r>
        <w:rPr>
          <w:rFonts w:ascii="Arial" w:cs="Arial" w:eastAsia="Arial" w:hAnsi="Arial"/>
          <w:color w:val="111827"/>
          <w:sz w:val="20"/>
          <w:szCs w:val="20"/>
        </w:rPr>
        <w:t xml:space="preserve">The report covers over 60 distinct document types across seven major categories: periodic SEC filings, current event disclosures, proxy and governance filings, banking and financial institution regulatory reports, insider and ownership disclosures, exchange-specific requirements, and specialized industry filings.</w:t>
      </w:r>
    </w:p>
    <w:p>
      <w:pPr>
        <w:spacing w:after="140"/>
      </w:pPr>
      <w:r>
        <w:rPr>
          <w:rFonts w:ascii="Arial" w:cs="Arial" w:eastAsia="Arial" w:hAnsi="Arial"/>
          <w:color w:val="111827"/>
          <w:sz w:val="20"/>
          <w:szCs w:val="20"/>
        </w:rPr>
        <w:t xml:space="preserve">For each document type, this guide details its purpose, filing frequency, statutory deadline, the regulatory body with which it is filed, and direct links to publicly accessible samples via SEC EDGAR and other official databases.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single" w:color="0EA5E9" w:sz="12"/>
              <w:bottom w:val="single" w:color="CBD5E1" w:sz="1"/>
              <w:right w:val="single" w:color="CBD5E1" w:sz="1"/>
            </w:tcBorders>
            <w:shd w:fill="EFF6FF" w:val="clear"/>
            <w:tcMar>
              <w:top w:type="dxa" w:w="120"/>
              <w:left w:type="dxa" w:w="200"/>
              <w:bottom w:type="dxa" w:w="120"/>
              <w:right w:type="dxa" w:w="120"/>
            </w:tcMar>
          </w:tcPr>
          <w:p>
            <w:pPr>
              <w:spacing w:after="60"/>
            </w:pPr>
            <w:r>
              <w:rPr>
                <w:rFonts w:ascii="Arial" w:cs="Arial" w:eastAsia="Arial" w:hAnsi="Arial"/>
                <w:b/>
                <w:bCs/>
                <w:color w:val="1B3A6B"/>
                <w:sz w:val="20"/>
                <w:szCs w:val="20"/>
              </w:rPr>
              <w:t xml:space="preserve">Key Regulatory Bodies Covered</w:t>
            </w:r>
          </w:p>
          <w:p>
            <w:pPr>
              <w:spacing w:after="40"/>
            </w:pPr>
            <w:r>
              <w:rPr>
                <w:rFonts w:ascii="Arial" w:cs="Arial" w:eastAsia="Arial" w:hAnsi="Arial"/>
                <w:color w:val="111827"/>
                <w:sz w:val="18"/>
                <w:szCs w:val="18"/>
              </w:rPr>
              <w:t xml:space="preserve">• SEC (Securities and Exchange Commission) — Primary regulator for publicly listed companies</w:t>
            </w:r>
          </w:p>
          <w:p>
            <w:pPr>
              <w:spacing w:after="40"/>
            </w:pPr>
            <w:r>
              <w:rPr>
                <w:rFonts w:ascii="Arial" w:cs="Arial" w:eastAsia="Arial" w:hAnsi="Arial"/>
                <w:color w:val="111827"/>
                <w:sz w:val="18"/>
                <w:szCs w:val="18"/>
              </w:rPr>
              <w:t xml:space="preserve">• NYSE / NASDAQ / CBOE — National securities exchanges with independent listing standards</w:t>
            </w:r>
          </w:p>
          <w:p>
            <w:pPr>
              <w:spacing w:after="40"/>
            </w:pPr>
            <w:r>
              <w:rPr>
                <w:rFonts w:ascii="Arial" w:cs="Arial" w:eastAsia="Arial" w:hAnsi="Arial"/>
                <w:color w:val="111827"/>
                <w:sz w:val="18"/>
                <w:szCs w:val="18"/>
              </w:rPr>
              <w:t xml:space="preserve">• FDIC (Federal Deposit Insurance Corporation) — Regulator for insured depository institutions</w:t>
            </w:r>
          </w:p>
          <w:p>
            <w:pPr>
              <w:spacing w:after="40"/>
            </w:pPr>
            <w:r>
              <w:rPr>
                <w:rFonts w:ascii="Arial" w:cs="Arial" w:eastAsia="Arial" w:hAnsi="Arial"/>
                <w:color w:val="111827"/>
                <w:sz w:val="18"/>
                <w:szCs w:val="18"/>
              </w:rPr>
              <w:t xml:space="preserve">• OCC (Office of the Comptroller of the Currency) — National bank regulator</w:t>
            </w:r>
          </w:p>
          <w:p>
            <w:pPr>
              <w:spacing w:after="40"/>
            </w:pPr>
            <w:r>
              <w:rPr>
                <w:rFonts w:ascii="Arial" w:cs="Arial" w:eastAsia="Arial" w:hAnsi="Arial"/>
                <w:color w:val="111827"/>
                <w:sz w:val="18"/>
                <w:szCs w:val="18"/>
              </w:rPr>
              <w:t xml:space="preserve">• Federal Reserve (Board of Governors) — Regulator for bank holding companies</w:t>
            </w:r>
          </w:p>
          <w:p>
            <w:pPr>
              <w:spacing w:after="40"/>
            </w:pPr>
            <w:r>
              <w:rPr>
                <w:rFonts w:ascii="Arial" w:cs="Arial" w:eastAsia="Arial" w:hAnsi="Arial"/>
                <w:color w:val="111827"/>
                <w:sz w:val="18"/>
                <w:szCs w:val="18"/>
              </w:rPr>
              <w:t xml:space="preserve">• FFIEC (Federal Financial Institutions Examination Council) — Interagency coordination body</w:t>
            </w:r>
          </w:p>
          <w:p>
            <w:pPr>
              <w:spacing w:after="40"/>
            </w:pPr>
            <w:r>
              <w:rPr>
                <w:rFonts w:ascii="Arial" w:cs="Arial" w:eastAsia="Arial" w:hAnsi="Arial"/>
                <w:color w:val="111827"/>
                <w:sz w:val="18"/>
                <w:szCs w:val="18"/>
              </w:rPr>
              <w:t xml:space="preserve">• CFPB (Consumer Financial Protection Bureau) — Consumer financial protection regulator</w:t>
            </w:r>
          </w:p>
          <w:p>
            <w:pPr>
              <w:spacing w:after="40"/>
            </w:pPr>
            <w:r>
              <w:rPr>
                <w:rFonts w:ascii="Arial" w:cs="Arial" w:eastAsia="Arial" w:hAnsi="Arial"/>
                <w:color w:val="111827"/>
                <w:sz w:val="18"/>
                <w:szCs w:val="18"/>
              </w:rPr>
              <w:t xml:space="preserve">• CFTC (Commodity Futures Trading Commission) — Derivatives &amp; commodities regulator</w:t>
            </w:r>
          </w:p>
        </w:tc>
      </w:tr>
    </w:tbl>
    <w:p>
      <w:pPr>
        <w:spacing w:after="200"/>
      </w:pPr>
    </w:p>
    <w:p>
      <w:r>
        <w:br w:type="page"/>
      </w:r>
    </w:p>
    <w:p>
      <w:pPr>
        <w:pStyle w:val="Heading1"/>
        <w:spacing w:before="480" w:after="120"/>
      </w:pPr>
      <w:r>
        <w:rPr>
          <w:rFonts w:ascii="Arial" w:cs="Arial" w:eastAsia="Arial" w:hAnsi="Arial"/>
          <w:b/>
          <w:bCs/>
          <w:color w:val="1B3A6B"/>
          <w:sz w:val="36"/>
          <w:szCs w:val="36"/>
        </w:rPr>
        <w:t xml:space="preserve">2. SEC Periodic &amp; Annual Filings</w:t>
      </w:r>
    </w:p>
    <w:p>
      <w:pPr>
        <w:pBdr>
          <w:bottom w:val="single" w:color="1B3A6B" w:sz="12" w:space="1"/>
        </w:pBdr>
        <w:spacing w:after="200"/>
      </w:pPr>
    </w:p>
    <w:p>
      <w:pPr>
        <w:spacing w:after="140"/>
      </w:pPr>
      <w:r>
        <w:rPr>
          <w:rFonts w:ascii="Arial" w:cs="Arial" w:eastAsia="Arial" w:hAnsi="Arial"/>
          <w:color w:val="111827"/>
          <w:sz w:val="20"/>
          <w:szCs w:val="20"/>
        </w:rPr>
        <w:t xml:space="preserve">The Securities Exchange Act of 1934 and the Securities Act of 1933 collectively mandate that all companies with securities listed on U.S. exchanges file periodic reports with the SEC. These documents are publicly accessible through SEC EDGAR (Electronic Data Gathering, Analysis, and Retrieval system) at edgar.sec.gov.</w:t>
      </w:r>
    </w:p>
    <w:p>
      <w:pPr>
        <w:pStyle w:val="Heading2"/>
        <w:spacing w:before="360" w:after="100"/>
      </w:pPr>
      <w:r>
        <w:rPr>
          <w:rFonts w:ascii="Arial" w:cs="Arial" w:eastAsia="Arial" w:hAnsi="Arial"/>
          <w:b/>
          <w:bCs/>
          <w:color w:val="1B3A6B"/>
          <w:sz w:val="28"/>
          <w:szCs w:val="28"/>
        </w:rPr>
        <w:t xml:space="preserve">2.1  Annual Reports</w:t>
      </w:r>
    </w:p>
    <w:p>
      <w:pPr>
        <w:pStyle w:val="Heading3"/>
        <w:spacing w:before="240" w:after="80"/>
      </w:pPr>
      <w:r>
        <w:rPr>
          <w:rFonts w:ascii="Arial" w:cs="Arial" w:eastAsia="Arial" w:hAnsi="Arial"/>
          <w:b/>
          <w:bCs/>
          <w:color w:val="2563EB"/>
          <w:sz w:val="24"/>
          <w:szCs w:val="24"/>
        </w:rPr>
        <w:t xml:space="preserve">Form 10-K — Annual Report</w:t>
      </w:r>
    </w:p>
    <w:p>
      <w:pPr>
        <w:spacing w:after="140"/>
      </w:pPr>
      <w:r>
        <w:rPr>
          <w:rFonts w:ascii="Arial" w:cs="Arial" w:eastAsia="Arial" w:hAnsi="Arial"/>
          <w:color w:val="111827"/>
          <w:sz w:val="20"/>
          <w:szCs w:val="20"/>
        </w:rPr>
        <w:t xml:space="preserve">The Form 10-K is the primary annual filing for U.S. domestic public companies. It provides a comprehensive overview of the business, including audited financial statements, management's discussion and analysis (MD&amp;A), risk factors, corporate governance details, and internal control over financial reporting assessments under Sarbanes-Oxley Section 404.</w:t>
      </w:r>
    </w:p>
    <w:p>
      <w:r>
        <w:rPr>
          <w:rFonts w:ascii="Arial" w:cs="Arial" w:eastAsia="Arial" w:hAnsi="Arial"/>
          <w:b/>
          <w:bCs/>
          <w:color w:val="1B3A6B"/>
          <w:sz w:val="20"/>
          <w:szCs w:val="20"/>
        </w:rPr>
        <w:t xml:space="preserve">Filing Deadline:</w:t>
      </w:r>
      <w:r>
        <w:rPr>
          <w:rFonts w:ascii="Arial" w:cs="Arial" w:eastAsia="Arial" w:hAnsi="Arial"/>
          <w:color w:val="111827"/>
          <w:sz w:val="20"/>
          <w:szCs w:val="20"/>
        </w:rPr>
        <w:t xml:space="preserve"> 60 days after fiscal year end (Large Accelerated Filers); 75 days (Accelerated); 90 days (Non-accelerated)</w:t>
      </w:r>
    </w:p>
    <w:p>
      <w:r>
        <w:rPr>
          <w:rFonts w:ascii="Arial" w:cs="Arial" w:eastAsia="Arial" w:hAnsi="Arial"/>
          <w:b/>
          <w:bCs/>
          <w:color w:val="1B3A6B"/>
          <w:sz w:val="20"/>
          <w:szCs w:val="20"/>
        </w:rPr>
        <w:t xml:space="preserve">Statutory Authority:</w:t>
      </w:r>
      <w:r>
        <w:rPr>
          <w:rFonts w:ascii="Arial" w:cs="Arial" w:eastAsia="Arial" w:hAnsi="Arial"/>
          <w:color w:val="111827"/>
          <w:sz w:val="20"/>
          <w:szCs w:val="20"/>
        </w:rPr>
        <w:t xml:space="preserve"> Securities Exchange Act of 1934, Rule 13a-1</w:t>
      </w:r>
    </w:p>
    <w:p>
      <w:r>
        <w:rPr>
          <w:rFonts w:ascii="Arial" w:cs="Arial" w:eastAsia="Arial" w:hAnsi="Arial"/>
          <w:b/>
          <w:bCs/>
          <w:color w:val="1B3A6B"/>
          <w:sz w:val="20"/>
          <w:szCs w:val="20"/>
        </w:rPr>
        <w:t xml:space="preserve">Sample / Database:</w:t>
      </w:r>
      <w:r>
        <w:rPr>
          <w:rFonts w:ascii="Arial" w:cs="Arial" w:eastAsia="Arial" w:hAnsi="Arial"/>
          <w:color w:val="111827"/>
          <w:sz w:val="20"/>
          <w:szCs w:val="20"/>
        </w:rPr>
        <w:t xml:space="preserve"> </w:t>
      </w:r>
      <w:hyperlink w:history="1" r:id="rId67trkrvp_rr6e0kcytid0">
        <w:r>
          <w:rPr>
            <w:rFonts w:ascii="Arial" w:cs="Arial" w:eastAsia="Arial" w:hAnsi="Arial"/>
            <w:color w:val="2563EB"/>
            <w:sz w:val="20"/>
            <w:szCs w:val="20"/>
            <w:u w:val="single"/>
          </w:rPr>
          <w:t xml:space="preserve">Apple Inc. 10-K FY2024 on EDGAR</w:t>
        </w:r>
      </w:hyperlink>
    </w:p>
    <w:p>
      <w:pPr>
        <w:spacing w:after="80"/>
      </w:pPr>
    </w:p>
    <w:p>
      <w:pPr>
        <w:spacing w:after="140"/>
      </w:pPr>
      <w:r>
        <w:rPr>
          <w:rFonts w:ascii="Arial" w:cs="Arial" w:eastAsia="Arial" w:hAnsi="Arial"/>
          <w:color w:val="111827"/>
          <w:sz w:val="20"/>
          <w:szCs w:val="20"/>
        </w:rPr>
        <w:t xml:space="preserve">Key sections of a 10-K include:</w:t>
      </w:r>
    </w:p>
    <w:p>
      <w:pPr>
        <w:pStyle w:val="ListParagraph"/>
        <w:numPr>
          <w:ilvl w:val="0"/>
          <w:numId w:val="2"/>
        </w:numPr>
        <w:spacing w:after="80"/>
      </w:pPr>
      <w:r>
        <w:rPr>
          <w:rFonts w:ascii="Arial" w:cs="Arial" w:eastAsia="Arial" w:hAnsi="Arial"/>
          <w:b w:val="false"/>
          <w:bCs w:val="false"/>
          <w:color w:val="111827"/>
          <w:sz w:val="20"/>
          <w:szCs w:val="20"/>
        </w:rPr>
        <w:t xml:space="preserve">Part I — Business description, risk factors, properties, legal proceedings</w:t>
      </w:r>
    </w:p>
    <w:p>
      <w:pPr>
        <w:pStyle w:val="ListParagraph"/>
        <w:numPr>
          <w:ilvl w:val="0"/>
          <w:numId w:val="2"/>
        </w:numPr>
        <w:spacing w:after="80"/>
      </w:pPr>
      <w:r>
        <w:rPr>
          <w:rFonts w:ascii="Arial" w:cs="Arial" w:eastAsia="Arial" w:hAnsi="Arial"/>
          <w:b w:val="false"/>
          <w:bCs w:val="false"/>
          <w:color w:val="111827"/>
          <w:sz w:val="20"/>
          <w:szCs w:val="20"/>
        </w:rPr>
        <w:t xml:space="preserve">Part II — Market for registrant's common equity, MD&amp;A, financial statements &amp; notes, auditor report</w:t>
      </w:r>
    </w:p>
    <w:p>
      <w:pPr>
        <w:pStyle w:val="ListParagraph"/>
        <w:numPr>
          <w:ilvl w:val="0"/>
          <w:numId w:val="2"/>
        </w:numPr>
        <w:spacing w:after="80"/>
      </w:pPr>
      <w:r>
        <w:rPr>
          <w:rFonts w:ascii="Arial" w:cs="Arial" w:eastAsia="Arial" w:hAnsi="Arial"/>
          <w:b w:val="false"/>
          <w:bCs w:val="false"/>
          <w:color w:val="111827"/>
          <w:sz w:val="20"/>
          <w:szCs w:val="20"/>
        </w:rPr>
        <w:t xml:space="preserve">Part III — Directors, executive compensation, security ownership, related transactions</w:t>
      </w:r>
    </w:p>
    <w:p>
      <w:pPr>
        <w:pStyle w:val="ListParagraph"/>
        <w:numPr>
          <w:ilvl w:val="0"/>
          <w:numId w:val="2"/>
        </w:numPr>
        <w:spacing w:after="80"/>
      </w:pPr>
      <w:r>
        <w:rPr>
          <w:rFonts w:ascii="Arial" w:cs="Arial" w:eastAsia="Arial" w:hAnsi="Arial"/>
          <w:b w:val="false"/>
          <w:bCs w:val="false"/>
          <w:color w:val="111827"/>
          <w:sz w:val="20"/>
          <w:szCs w:val="20"/>
        </w:rPr>
        <w:t xml:space="preserve">Part IV — Exhibits and financial statement schedules</w:t>
      </w:r>
    </w:p>
    <w:p>
      <w:pPr>
        <w:spacing w:after="120"/>
      </w:pPr>
    </w:p>
    <w:p>
      <w:pPr>
        <w:pStyle w:val="Heading3"/>
        <w:spacing w:before="240" w:after="80"/>
      </w:pPr>
      <w:r>
        <w:rPr>
          <w:rFonts w:ascii="Arial" w:cs="Arial" w:eastAsia="Arial" w:hAnsi="Arial"/>
          <w:b/>
          <w:bCs/>
          <w:color w:val="2563EB"/>
          <w:sz w:val="24"/>
          <w:szCs w:val="24"/>
        </w:rPr>
        <w:t xml:space="preserve">Form 10-K/A — Amended Annual Report</w:t>
      </w:r>
    </w:p>
    <w:p>
      <w:pPr>
        <w:spacing w:after="140"/>
      </w:pPr>
      <w:r>
        <w:rPr>
          <w:rFonts w:ascii="Arial" w:cs="Arial" w:eastAsia="Arial" w:hAnsi="Arial"/>
          <w:color w:val="111827"/>
          <w:sz w:val="20"/>
          <w:szCs w:val="20"/>
        </w:rPr>
        <w:t xml:space="preserve">Filed to amend a previously submitted 10-K. Used to correct material errors, add omitted information, or restate financials. The amendment must clearly identify changed items.</w:t>
      </w:r>
    </w:p>
    <w:p>
      <w:r>
        <w:rPr>
          <w:rFonts w:ascii="Arial" w:cs="Arial" w:eastAsia="Arial" w:hAnsi="Arial"/>
          <w:b/>
          <w:bCs/>
          <w:color w:val="1B3A6B"/>
          <w:sz w:val="20"/>
          <w:szCs w:val="20"/>
        </w:rPr>
        <w:t xml:space="preserve">Sample:</w:t>
      </w:r>
      <w:r>
        <w:rPr>
          <w:rFonts w:ascii="Arial" w:cs="Arial" w:eastAsia="Arial" w:hAnsi="Arial"/>
          <w:color w:val="111827"/>
          <w:sz w:val="20"/>
          <w:szCs w:val="20"/>
        </w:rPr>
        <w:t xml:space="preserve"> </w:t>
      </w:r>
      <w:hyperlink w:history="1" r:id="rIdh4szpg1-noxuc_rhyhtos">
        <w:r>
          <w:rPr>
            <w:rFonts w:ascii="Arial" w:cs="Arial" w:eastAsia="Arial" w:hAnsi="Arial"/>
            <w:color w:val="2563EB"/>
            <w:sz w:val="20"/>
            <w:szCs w:val="20"/>
            <w:u w:val="single"/>
          </w:rPr>
          <w:t xml:space="preserve">Search 10-K/A filings on EDGAR</w:t>
        </w:r>
      </w:hyperlink>
    </w:p>
    <w:p>
      <w:pPr>
        <w:spacing w:after="120"/>
      </w:pPr>
    </w:p>
    <w:p>
      <w:pPr>
        <w:pStyle w:val="Heading3"/>
        <w:spacing w:before="240" w:after="80"/>
      </w:pPr>
      <w:r>
        <w:rPr>
          <w:rFonts w:ascii="Arial" w:cs="Arial" w:eastAsia="Arial" w:hAnsi="Arial"/>
          <w:b/>
          <w:bCs/>
          <w:color w:val="2563EB"/>
          <w:sz w:val="24"/>
          <w:szCs w:val="24"/>
        </w:rPr>
        <w:t xml:space="preserve">Form 20-F — Annual Report for Foreign Private Issuers</w:t>
      </w:r>
    </w:p>
    <w:p>
      <w:pPr>
        <w:spacing w:after="140"/>
      </w:pPr>
      <w:r>
        <w:rPr>
          <w:rFonts w:ascii="Arial" w:cs="Arial" w:eastAsia="Arial" w:hAnsi="Arial"/>
          <w:color w:val="111827"/>
          <w:sz w:val="20"/>
          <w:szCs w:val="20"/>
        </w:rPr>
        <w:t xml:space="preserve">Foreign private issuers (FPIs) listed on U.S. exchanges file the 20-F instead of the 10-K. It is equivalent in scope but allows presentation under IFRS without U.S. GAAP reconciliation if the issuer uses IFRS as adopted by the IASB.</w:t>
      </w:r>
    </w:p>
    <w:p>
      <w:r>
        <w:rPr>
          <w:rFonts w:ascii="Arial" w:cs="Arial" w:eastAsia="Arial" w:hAnsi="Arial"/>
          <w:b/>
          <w:bCs/>
          <w:color w:val="1B3A6B"/>
          <w:sz w:val="20"/>
          <w:szCs w:val="20"/>
        </w:rPr>
        <w:t xml:space="preserve">Filing Deadline:</w:t>
      </w:r>
      <w:r>
        <w:rPr>
          <w:rFonts w:ascii="Arial" w:cs="Arial" w:eastAsia="Arial" w:hAnsi="Arial"/>
          <w:color w:val="111827"/>
          <w:sz w:val="20"/>
          <w:szCs w:val="20"/>
        </w:rPr>
        <w:t xml:space="preserve"> 4 months after fiscal year end</w:t>
      </w:r>
    </w:p>
    <w:p>
      <w:r>
        <w:rPr>
          <w:rFonts w:ascii="Arial" w:cs="Arial" w:eastAsia="Arial" w:hAnsi="Arial"/>
          <w:b/>
          <w:bCs/>
          <w:color w:val="1B3A6B"/>
          <w:sz w:val="20"/>
          <w:szCs w:val="20"/>
        </w:rPr>
        <w:t xml:space="preserve">Sample:</w:t>
      </w:r>
      <w:r>
        <w:rPr>
          <w:rFonts w:ascii="Arial" w:cs="Arial" w:eastAsia="Arial" w:hAnsi="Arial"/>
          <w:color w:val="111827"/>
          <w:sz w:val="20"/>
          <w:szCs w:val="20"/>
        </w:rPr>
        <w:t xml:space="preserve"> </w:t>
      </w:r>
      <w:hyperlink w:history="1" r:id="rId3faefhfn_qx5vtvng-krm">
        <w:r>
          <w:rPr>
            <w:rFonts w:ascii="Arial" w:cs="Arial" w:eastAsia="Arial" w:hAnsi="Arial"/>
            <w:color w:val="2563EB"/>
            <w:sz w:val="20"/>
            <w:szCs w:val="20"/>
            <w:u w:val="single"/>
          </w:rPr>
          <w:t xml:space="preserve">Toyota Motor 20-F on EDGAR</w:t>
        </w:r>
      </w:hyperlink>
    </w:p>
    <w:p>
      <w:pPr>
        <w:spacing w:after="120"/>
      </w:pPr>
    </w:p>
    <w:p>
      <w:pPr>
        <w:pStyle w:val="Heading3"/>
        <w:spacing w:before="240" w:after="80"/>
      </w:pPr>
      <w:r>
        <w:rPr>
          <w:rFonts w:ascii="Arial" w:cs="Arial" w:eastAsia="Arial" w:hAnsi="Arial"/>
          <w:b/>
          <w:bCs/>
          <w:color w:val="2563EB"/>
          <w:sz w:val="24"/>
          <w:szCs w:val="24"/>
        </w:rPr>
        <w:t xml:space="preserve">Form 40-F — Annual Report for Canadian Issuers</w:t>
      </w:r>
    </w:p>
    <w:p>
      <w:pPr>
        <w:spacing w:after="140"/>
      </w:pPr>
      <w:r>
        <w:rPr>
          <w:rFonts w:ascii="Arial" w:cs="Arial" w:eastAsia="Arial" w:hAnsi="Arial"/>
          <w:color w:val="111827"/>
          <w:sz w:val="20"/>
          <w:szCs w:val="20"/>
        </w:rPr>
        <w:t xml:space="preserve">A streamlined annual report for Canadian companies listed in the U.S. under the Multijurisdictional Disclosure System (MJDS). Allows incorporation by reference of Canadian regulatory filings.</w:t>
      </w:r>
    </w:p>
    <w:p>
      <w:r>
        <w:rPr>
          <w:rFonts w:ascii="Arial" w:cs="Arial" w:eastAsia="Arial" w:hAnsi="Arial"/>
          <w:b/>
          <w:bCs/>
          <w:color w:val="1B3A6B"/>
          <w:sz w:val="20"/>
          <w:szCs w:val="20"/>
        </w:rPr>
        <w:t xml:space="preserve">Sample:</w:t>
      </w:r>
      <w:r>
        <w:rPr>
          <w:rFonts w:ascii="Arial" w:cs="Arial" w:eastAsia="Arial" w:hAnsi="Arial"/>
          <w:color w:val="111827"/>
          <w:sz w:val="20"/>
          <w:szCs w:val="20"/>
        </w:rPr>
        <w:t xml:space="preserve"> </w:t>
      </w:r>
      <w:hyperlink w:history="1" r:id="rId6n33k5dftftabmb2e4axg">
        <w:r>
          <w:rPr>
            <w:rFonts w:ascii="Arial" w:cs="Arial" w:eastAsia="Arial" w:hAnsi="Arial"/>
            <w:color w:val="2563EB"/>
            <w:sz w:val="20"/>
            <w:szCs w:val="20"/>
            <w:u w:val="single"/>
          </w:rPr>
          <w:t xml:space="preserve">Search 40-F filings on EDGAR</w:t>
        </w:r>
      </w:hyperlink>
    </w:p>
    <w:p>
      <w:pPr>
        <w:spacing w:after="200"/>
      </w:pPr>
    </w:p>
    <w:p>
      <w:pPr>
        <w:pStyle w:val="Heading2"/>
        <w:spacing w:before="360" w:after="100"/>
      </w:pPr>
      <w:r>
        <w:rPr>
          <w:rFonts w:ascii="Arial" w:cs="Arial" w:eastAsia="Arial" w:hAnsi="Arial"/>
          <w:b/>
          <w:bCs/>
          <w:color w:val="1B3A6B"/>
          <w:sz w:val="28"/>
          <w:szCs w:val="28"/>
        </w:rPr>
        <w:t xml:space="preserve">2.2  Quarterly Reports</w:t>
      </w:r>
    </w:p>
    <w:p>
      <w:pPr>
        <w:pStyle w:val="Heading3"/>
        <w:spacing w:before="240" w:after="80"/>
      </w:pPr>
      <w:r>
        <w:rPr>
          <w:rFonts w:ascii="Arial" w:cs="Arial" w:eastAsia="Arial" w:hAnsi="Arial"/>
          <w:b/>
          <w:bCs/>
          <w:color w:val="2563EB"/>
          <w:sz w:val="24"/>
          <w:szCs w:val="24"/>
        </w:rPr>
        <w:t xml:space="preserve">Form 10-Q — Quarterly Report</w:t>
      </w:r>
    </w:p>
    <w:p>
      <w:pPr>
        <w:spacing w:after="140"/>
      </w:pPr>
      <w:r>
        <w:rPr>
          <w:rFonts w:ascii="Arial" w:cs="Arial" w:eastAsia="Arial" w:hAnsi="Arial"/>
          <w:color w:val="111827"/>
          <w:sz w:val="20"/>
          <w:szCs w:val="20"/>
        </w:rPr>
        <w:t xml:space="preserve">Filed by domestic public companies for each of the first three fiscal quarters. Contains unaudited condensed financial statements, MD&amp;A updates, risk factor updates, and disclosure of legal proceedings. No filing is required for the fourth quarter as the 10-K covers the full year.</w:t>
      </w:r>
    </w:p>
    <w:p>
      <w:r>
        <w:rPr>
          <w:rFonts w:ascii="Arial" w:cs="Arial" w:eastAsia="Arial" w:hAnsi="Arial"/>
          <w:b/>
          <w:bCs/>
          <w:color w:val="1B3A6B"/>
          <w:sz w:val="20"/>
          <w:szCs w:val="20"/>
        </w:rPr>
        <w:t xml:space="preserve">Filing Deadline:</w:t>
      </w:r>
      <w:r>
        <w:rPr>
          <w:rFonts w:ascii="Arial" w:cs="Arial" w:eastAsia="Arial" w:hAnsi="Arial"/>
          <w:color w:val="111827"/>
          <w:sz w:val="20"/>
          <w:szCs w:val="20"/>
        </w:rPr>
        <w:t xml:space="preserve"> 40 days (Large Accelerated &amp; Accelerated Filers); 45 days (Non-accelerated)</w:t>
      </w:r>
    </w:p>
    <w:p>
      <w:r>
        <w:rPr>
          <w:rFonts w:ascii="Arial" w:cs="Arial" w:eastAsia="Arial" w:hAnsi="Arial"/>
          <w:b/>
          <w:bCs/>
          <w:color w:val="1B3A6B"/>
          <w:sz w:val="20"/>
          <w:szCs w:val="20"/>
        </w:rPr>
        <w:t xml:space="preserve">Sample:</w:t>
      </w:r>
      <w:r>
        <w:rPr>
          <w:rFonts w:ascii="Arial" w:cs="Arial" w:eastAsia="Arial" w:hAnsi="Arial"/>
          <w:color w:val="111827"/>
          <w:sz w:val="20"/>
          <w:szCs w:val="20"/>
        </w:rPr>
        <w:t xml:space="preserve"> </w:t>
      </w:r>
      <w:hyperlink w:history="1" r:id="rIdaqrotbkwah--hwvnas9gy">
        <w:r>
          <w:rPr>
            <w:rFonts w:ascii="Arial" w:cs="Arial" w:eastAsia="Arial" w:hAnsi="Arial"/>
            <w:color w:val="2563EB"/>
            <w:sz w:val="20"/>
            <w:szCs w:val="20"/>
            <w:u w:val="single"/>
          </w:rPr>
          <w:t xml:space="preserve">Microsoft 10-Q (Q1 FY2025) on EDGAR</w:t>
        </w:r>
      </w:hyperlink>
    </w:p>
    <w:p>
      <w:pPr>
        <w:spacing w:after="120"/>
      </w:pPr>
    </w:p>
    <w:p>
      <w:pPr>
        <w:pStyle w:val="Heading3"/>
        <w:spacing w:before="240" w:after="80"/>
      </w:pPr>
      <w:r>
        <w:rPr>
          <w:rFonts w:ascii="Arial" w:cs="Arial" w:eastAsia="Arial" w:hAnsi="Arial"/>
          <w:b/>
          <w:bCs/>
          <w:color w:val="2563EB"/>
          <w:sz w:val="24"/>
          <w:szCs w:val="24"/>
        </w:rPr>
        <w:t xml:space="preserve">Form 10-Q/A — Amended Quarterly Report</w:t>
      </w:r>
    </w:p>
    <w:p>
      <w:pPr>
        <w:spacing w:after="140"/>
      </w:pPr>
      <w:r>
        <w:rPr>
          <w:rFonts w:ascii="Arial" w:cs="Arial" w:eastAsia="Arial" w:hAnsi="Arial"/>
          <w:color w:val="111827"/>
          <w:sz w:val="20"/>
          <w:szCs w:val="20"/>
        </w:rPr>
        <w:t xml:space="preserve">An amendment to a previously filed 10-Q. Filed to correct material misstatements or omissions in an earlier quarterly filing.</w:t>
      </w:r>
    </w:p>
    <w:p>
      <w:pPr>
        <w:spacing w:after="200"/>
      </w:pPr>
    </w:p>
    <w:p>
      <w:pPr>
        <w:pStyle w:val="Heading2"/>
        <w:spacing w:before="360" w:after="100"/>
      </w:pPr>
      <w:r>
        <w:rPr>
          <w:rFonts w:ascii="Arial" w:cs="Arial" w:eastAsia="Arial" w:hAnsi="Arial"/>
          <w:b/>
          <w:bCs/>
          <w:color w:val="1B3A6B"/>
          <w:sz w:val="28"/>
          <w:szCs w:val="28"/>
        </w:rPr>
        <w:t xml:space="preserve">2.3  Registration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S-1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IPO / initial registration statement for new issuers. Full prospectus required.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before offering; effective upon SEC 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S-3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Shelf registration for seasoned issuers (&gt;$75M public float). Allows future offerings by reference.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Continuous; 3-year shelf life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S-4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Registration for securities issued in M&amp;A, exchange offers, or merger transactions.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with merger announcement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S-8</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Registration of securities offered to employees under benefit/stock option plans.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Filed before grant; no expiry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S-11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 real estate investment trusts (REITs) and real estate companies.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Before REIT offering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F-1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Equivalent of S-1 for foreign private issuers.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Before IPO on US exchange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F-3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Equivalent of S-3 for foreign private issuers.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Continuous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120"/>
      </w:pPr>
    </w:p>
    <w:p>
      <w:r>
        <w:rPr>
          <w:rFonts w:ascii="Arial" w:cs="Arial" w:eastAsia="Arial" w:hAnsi="Arial"/>
          <w:b/>
          <w:bCs/>
          <w:color w:val="1B3A6B"/>
          <w:sz w:val="20"/>
          <w:szCs w:val="20"/>
        </w:rPr>
        <w:t xml:space="preserve">EDGAR Registration Search:</w:t>
      </w:r>
      <w:r>
        <w:rPr>
          <w:rFonts w:ascii="Arial" w:cs="Arial" w:eastAsia="Arial" w:hAnsi="Arial"/>
          <w:color w:val="111827"/>
          <w:sz w:val="20"/>
          <w:szCs w:val="20"/>
        </w:rPr>
        <w:t xml:space="preserve"> </w:t>
      </w:r>
      <w:hyperlink w:history="1" r:id="rId4_rs8t-dgxwjei2lpvrd5">
        <w:r>
          <w:rPr>
            <w:rFonts w:ascii="Arial" w:cs="Arial" w:eastAsia="Arial" w:hAnsi="Arial"/>
            <w:color w:val="2563EB"/>
            <w:sz w:val="20"/>
            <w:szCs w:val="20"/>
            <w:u w:val="single"/>
          </w:rPr>
          <w:t xml:space="preserve">Search all registration statements</w:t>
        </w:r>
      </w:hyperlink>
    </w:p>
    <w:p>
      <w:pPr>
        <w:spacing w:after="200"/>
      </w:pPr>
    </w:p>
    <w:p>
      <w:r>
        <w:br w:type="page"/>
      </w:r>
    </w:p>
    <w:p>
      <w:pPr>
        <w:pStyle w:val="Heading1"/>
        <w:spacing w:before="480" w:after="120"/>
      </w:pPr>
      <w:r>
        <w:rPr>
          <w:rFonts w:ascii="Arial" w:cs="Arial" w:eastAsia="Arial" w:hAnsi="Arial"/>
          <w:b/>
          <w:bCs/>
          <w:color w:val="1B3A6B"/>
          <w:sz w:val="36"/>
          <w:szCs w:val="36"/>
        </w:rPr>
        <w:t xml:space="preserve">3. Current Event &amp; Material Disclosure Filings</w:t>
      </w:r>
    </w:p>
    <w:p>
      <w:pPr>
        <w:pBdr>
          <w:bottom w:val="single" w:color="1B3A6B" w:sz="12" w:space="1"/>
        </w:pBdr>
        <w:spacing w:after="200"/>
      </w:pPr>
    </w:p>
    <w:p>
      <w:pPr>
        <w:spacing w:after="140"/>
      </w:pPr>
      <w:r>
        <w:rPr>
          <w:rFonts w:ascii="Arial" w:cs="Arial" w:eastAsia="Arial" w:hAnsi="Arial"/>
          <w:color w:val="111827"/>
          <w:sz w:val="20"/>
          <w:szCs w:val="20"/>
        </w:rPr>
        <w:t xml:space="preserve">Public companies must promptly disclose material events that could affect investors' decisions. These filings are designed to ensure that all investors have equal and timely access to price-sensitive information.</w:t>
      </w:r>
    </w:p>
    <w:p>
      <w:pPr>
        <w:pStyle w:val="Heading2"/>
        <w:spacing w:before="360" w:after="100"/>
      </w:pPr>
      <w:r>
        <w:rPr>
          <w:rFonts w:ascii="Arial" w:cs="Arial" w:eastAsia="Arial" w:hAnsi="Arial"/>
          <w:b/>
          <w:bCs/>
          <w:color w:val="1B3A6B"/>
          <w:sz w:val="28"/>
          <w:szCs w:val="28"/>
        </w:rPr>
        <w:t xml:space="preserve">3.1  Form 8-K — Current Report</w:t>
      </w:r>
    </w:p>
    <w:p>
      <w:pPr>
        <w:spacing w:after="140"/>
      </w:pPr>
      <w:r>
        <w:rPr>
          <w:rFonts w:ascii="Arial" w:cs="Arial" w:eastAsia="Arial" w:hAnsi="Arial"/>
          <w:color w:val="111827"/>
          <w:sz w:val="20"/>
          <w:szCs w:val="20"/>
        </w:rPr>
        <w:t xml:space="preserve">The Form 8-K is filed to disclose material corporate events. It must generally be filed within 4 business days of the triggering event. There are 15 standard item categories under which events are disclosed, plus additional items for financial statements and exhibits.</w:t>
      </w:r>
    </w:p>
    <w:p>
      <w:r>
        <w:rPr>
          <w:rFonts w:ascii="Arial" w:cs="Arial" w:eastAsia="Arial" w:hAnsi="Arial"/>
          <w:b/>
          <w:bCs/>
          <w:color w:val="1B3A6B"/>
          <w:sz w:val="20"/>
          <w:szCs w:val="20"/>
        </w:rPr>
        <w:t xml:space="preserve">Filing Deadline:</w:t>
      </w:r>
      <w:r>
        <w:rPr>
          <w:rFonts w:ascii="Arial" w:cs="Arial" w:eastAsia="Arial" w:hAnsi="Arial"/>
          <w:color w:val="111827"/>
          <w:sz w:val="20"/>
          <w:szCs w:val="20"/>
        </w:rPr>
        <w:t xml:space="preserve"> 4 business days after the event</w:t>
      </w:r>
    </w:p>
    <w:p>
      <w:r>
        <w:rPr>
          <w:rFonts w:ascii="Arial" w:cs="Arial" w:eastAsia="Arial" w:hAnsi="Arial"/>
          <w:b/>
          <w:bCs/>
          <w:color w:val="1B3A6B"/>
          <w:sz w:val="20"/>
          <w:szCs w:val="20"/>
        </w:rPr>
        <w:t xml:space="preserve">Sample:</w:t>
      </w:r>
      <w:r>
        <w:rPr>
          <w:rFonts w:ascii="Arial" w:cs="Arial" w:eastAsia="Arial" w:hAnsi="Arial"/>
          <w:color w:val="111827"/>
          <w:sz w:val="20"/>
          <w:szCs w:val="20"/>
        </w:rPr>
        <w:t xml:space="preserve"> </w:t>
      </w:r>
      <w:hyperlink w:history="1" r:id="rIdzdejgbf3wm5molygwfoxq">
        <w:r>
          <w:rPr>
            <w:rFonts w:ascii="Arial" w:cs="Arial" w:eastAsia="Arial" w:hAnsi="Arial"/>
            <w:color w:val="2563EB"/>
            <w:sz w:val="20"/>
            <w:szCs w:val="20"/>
            <w:u w:val="single"/>
          </w:rPr>
          <w:t xml:space="preserve">Search recent 8-K filings on EDGAR</w:t>
        </w:r>
      </w:hyperlink>
    </w:p>
    <w:p>
      <w:pPr>
        <w:spacing w:after="100"/>
      </w:pPr>
    </w:p>
    <w:p>
      <w:pPr>
        <w:spacing w:after="140"/>
      </w:pPr>
      <w:r>
        <w:rPr>
          <w:rFonts w:ascii="Arial" w:cs="Arial" w:eastAsia="Arial" w:hAnsi="Arial"/>
          <w:color w:val="111827"/>
          <w:sz w:val="20"/>
          <w:szCs w:val="20"/>
        </w:rPr>
        <w:t xml:space="preserve">Common 8-K triggering events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1.01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Entry into a Material Definitive Agreement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1.02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Termination of a Material Definitive Agreement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1.03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Bankruptcy or Receivership</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2.01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Completion of Acquisition or Disposition of Assets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2.02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Results of Operations and Financial Condition (Earnings Releases)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2.03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Creation of a Direct Financial Obligation (Debt)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2.05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Costs Associated with Exit or Disposal Activities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3.01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Notice of Delisting or Failure to Satisfy Listing Rule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4.01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Changes in Registrant's Certifying Accountant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4.02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Non-reliance on Previously Issued Financial Statements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5.01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Changes in Control of Registrant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5.02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Departure / Election of Directors or Principal Officers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5.03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Amendments to Articles of Incorporation or Bylaws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 business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7.01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Regulation FD Disclosure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Same day or before market open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8.01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Other Events (voluntary disclosure)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 specific deadline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Item 9.01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Financial Statements and Exhibits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As part of 8-K</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120"/>
      </w:pPr>
    </w:p>
    <w:p>
      <w:pPr>
        <w:pStyle w:val="Heading2"/>
        <w:spacing w:before="360" w:after="100"/>
      </w:pPr>
      <w:r>
        <w:rPr>
          <w:rFonts w:ascii="Arial" w:cs="Arial" w:eastAsia="Arial" w:hAnsi="Arial"/>
          <w:b/>
          <w:bCs/>
          <w:color w:val="1B3A6B"/>
          <w:sz w:val="28"/>
          <w:szCs w:val="28"/>
        </w:rPr>
        <w:t xml:space="preserve">3.2  Form 8-K/A — Amended Current Report</w:t>
      </w:r>
    </w:p>
    <w:p>
      <w:pPr>
        <w:spacing w:after="140"/>
      </w:pPr>
      <w:r>
        <w:rPr>
          <w:rFonts w:ascii="Arial" w:cs="Arial" w:eastAsia="Arial" w:hAnsi="Arial"/>
          <w:color w:val="111827"/>
          <w:sz w:val="20"/>
          <w:szCs w:val="20"/>
        </w:rPr>
        <w:t xml:space="preserve">Filed to amend a previous 8-K, typically to include financial statements that were not available at the time of the original filing (e.g., for acquired businesses), or to correct material information.</w:t>
      </w:r>
    </w:p>
    <w:p>
      <w:pPr>
        <w:spacing w:after="200"/>
      </w:pPr>
    </w:p>
    <w:p>
      <w:r>
        <w:br w:type="page"/>
      </w:r>
    </w:p>
    <w:p>
      <w:pPr>
        <w:pStyle w:val="Heading1"/>
        <w:spacing w:before="480" w:after="120"/>
      </w:pPr>
      <w:r>
        <w:rPr>
          <w:rFonts w:ascii="Arial" w:cs="Arial" w:eastAsia="Arial" w:hAnsi="Arial"/>
          <w:b/>
          <w:bCs/>
          <w:color w:val="1B3A6B"/>
          <w:sz w:val="36"/>
          <w:szCs w:val="36"/>
        </w:rPr>
        <w:t xml:space="preserve">4. Proxy, Governance &amp; Compensation Filings</w:t>
      </w:r>
    </w:p>
    <w:p>
      <w:pPr>
        <w:pBdr>
          <w:bottom w:val="single" w:color="1B3A6B" w:sz="12" w:space="1"/>
        </w:pBdr>
        <w:spacing w:after="200"/>
      </w:pPr>
    </w:p>
    <w:p>
      <w:pPr>
        <w:spacing w:after="140"/>
      </w:pPr>
      <w:r>
        <w:rPr>
          <w:rFonts w:ascii="Arial" w:cs="Arial" w:eastAsia="Arial" w:hAnsi="Arial"/>
          <w:color w:val="111827"/>
          <w:sz w:val="20"/>
          <w:szCs w:val="20"/>
        </w:rPr>
        <w:t xml:space="preserve">Proxy-related filings govern the relationship between public companies and their shareholders, particularly with respect to annual meetings, board elections, executive compensation, and shareholder proposals.</w:t>
      </w:r>
    </w:p>
    <w:p>
      <w:pPr>
        <w:pStyle w:val="Heading2"/>
        <w:spacing w:before="360" w:after="100"/>
      </w:pPr>
      <w:r>
        <w:rPr>
          <w:rFonts w:ascii="Arial" w:cs="Arial" w:eastAsia="Arial" w:hAnsi="Arial"/>
          <w:b/>
          <w:bCs/>
          <w:color w:val="1B3A6B"/>
          <w:sz w:val="28"/>
          <w:szCs w:val="28"/>
        </w:rPr>
        <w:t xml:space="preserve">4.1  Proxy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DEF 14A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Definitive Proxy Statement — the primary shareholder vote document for annual meetings. Includes director nominees, executive compensation (Say-on-Pay), auditor ratification, and shareholder proposals.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≥10 days before annual meeting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DEF 14C</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Definitive Information Statement — filed when corporate action is taken without a shareholder vote (consent action).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Filed ≥20 days before action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DEFA14A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Additional definitive proxy materials (e.g., supplemental letters to shareholders).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As needed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DEFR14A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Revised definitive proxy statement.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As needed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PRE 14A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Preliminary proxy statement — submitted to SEC for review before mailing to shareholders.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at least 10 days before DEF 14A</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PX14A6G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Notice of exempt solicitation — filed by shareholders or third parties without a stake seeking proxy support.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As needed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120"/>
      </w:pPr>
    </w:p>
    <w:p>
      <w:r>
        <w:rPr>
          <w:rFonts w:ascii="Arial" w:cs="Arial" w:eastAsia="Arial" w:hAnsi="Arial"/>
          <w:b/>
          <w:bCs/>
          <w:color w:val="1B3A6B"/>
          <w:sz w:val="20"/>
          <w:szCs w:val="20"/>
        </w:rPr>
        <w:t xml:space="preserve">Sample — Apple DEF 14A:</w:t>
      </w:r>
      <w:r>
        <w:rPr>
          <w:rFonts w:ascii="Arial" w:cs="Arial" w:eastAsia="Arial" w:hAnsi="Arial"/>
          <w:color w:val="111827"/>
          <w:sz w:val="20"/>
          <w:szCs w:val="20"/>
        </w:rPr>
        <w:t xml:space="preserve"> </w:t>
      </w:r>
      <w:hyperlink w:history="1" r:id="rIdy5oju7sxjjqow5btvrwpn">
        <w:r>
          <w:rPr>
            <w:rFonts w:ascii="Arial" w:cs="Arial" w:eastAsia="Arial" w:hAnsi="Arial"/>
            <w:color w:val="2563EB"/>
            <w:sz w:val="20"/>
            <w:szCs w:val="20"/>
            <w:u w:val="single"/>
          </w:rPr>
          <w:t xml:space="preserve">Apple Inc. 2024 Proxy Statement</w:t>
        </w:r>
      </w:hyperlink>
    </w:p>
    <w:p>
      <w:pPr>
        <w:spacing w:after="200"/>
      </w:pPr>
    </w:p>
    <w:p>
      <w:pPr>
        <w:pStyle w:val="Heading2"/>
        <w:spacing w:before="360" w:after="100"/>
      </w:pPr>
      <w:r>
        <w:rPr>
          <w:rFonts w:ascii="Arial" w:cs="Arial" w:eastAsia="Arial" w:hAnsi="Arial"/>
          <w:b/>
          <w:bCs/>
          <w:color w:val="1B3A6B"/>
          <w:sz w:val="28"/>
          <w:szCs w:val="28"/>
        </w:rPr>
        <w:t xml:space="preserve">4.2  Executive Compensation &amp; CD&amp;A</w:t>
      </w:r>
    </w:p>
    <w:p>
      <w:pPr>
        <w:spacing w:after="140"/>
      </w:pPr>
      <w:r>
        <w:rPr>
          <w:rFonts w:ascii="Arial" w:cs="Arial" w:eastAsia="Arial" w:hAnsi="Arial"/>
          <w:color w:val="111827"/>
          <w:sz w:val="20"/>
          <w:szCs w:val="20"/>
        </w:rPr>
        <w:t xml:space="preserve">The Compensation Discussion &amp; Analysis (CD&amp;A) is a narrative section within the DEF 14A explaining the company's executive compensation philosophy, programs, and decisions. Since Dodd-Frank (2010), public companies must also hold an advisory Say-on-Pay vote at least every three years.</w:t>
      </w:r>
    </w:p>
    <w:p>
      <w:pPr>
        <w:spacing w:after="140"/>
      </w:pPr>
      <w:r>
        <w:rPr>
          <w:rFonts w:ascii="Arial" w:cs="Arial" w:eastAsia="Arial" w:hAnsi="Arial"/>
          <w:color w:val="111827"/>
          <w:sz w:val="20"/>
          <w:szCs w:val="20"/>
        </w:rPr>
        <w:t xml:space="preserve">Additional compensation-related disclosures include:</w:t>
      </w:r>
    </w:p>
    <w:p>
      <w:pPr>
        <w:pStyle w:val="ListParagraph"/>
        <w:numPr>
          <w:ilvl w:val="0"/>
          <w:numId w:val="2"/>
        </w:numPr>
        <w:spacing w:after="80"/>
      </w:pPr>
      <w:r>
        <w:rPr>
          <w:rFonts w:ascii="Arial" w:cs="Arial" w:eastAsia="Arial" w:hAnsi="Arial"/>
          <w:b w:val="false"/>
          <w:bCs w:val="false"/>
          <w:color w:val="111827"/>
          <w:sz w:val="20"/>
          <w:szCs w:val="20"/>
        </w:rPr>
        <w:t xml:space="preserve">Summary Compensation Table (SCT) — last 3 years of CEO/CFO and 3 other highest-paid executive compensation</w:t>
      </w:r>
    </w:p>
    <w:p>
      <w:pPr>
        <w:pStyle w:val="ListParagraph"/>
        <w:numPr>
          <w:ilvl w:val="0"/>
          <w:numId w:val="2"/>
        </w:numPr>
        <w:spacing w:after="80"/>
      </w:pPr>
      <w:r>
        <w:rPr>
          <w:rFonts w:ascii="Arial" w:cs="Arial" w:eastAsia="Arial" w:hAnsi="Arial"/>
          <w:b w:val="false"/>
          <w:bCs w:val="false"/>
          <w:color w:val="111827"/>
          <w:sz w:val="20"/>
          <w:szCs w:val="20"/>
        </w:rPr>
        <w:t xml:space="preserve">Grants of Plan-Based Awards table</w:t>
      </w:r>
    </w:p>
    <w:p>
      <w:pPr>
        <w:pStyle w:val="ListParagraph"/>
        <w:numPr>
          <w:ilvl w:val="0"/>
          <w:numId w:val="2"/>
        </w:numPr>
        <w:spacing w:after="80"/>
      </w:pPr>
      <w:r>
        <w:rPr>
          <w:rFonts w:ascii="Arial" w:cs="Arial" w:eastAsia="Arial" w:hAnsi="Arial"/>
          <w:b w:val="false"/>
          <w:bCs w:val="false"/>
          <w:color w:val="111827"/>
          <w:sz w:val="20"/>
          <w:szCs w:val="20"/>
        </w:rPr>
        <w:t xml:space="preserve">Outstanding Equity Awards at Fiscal Year-End table</w:t>
      </w:r>
    </w:p>
    <w:p>
      <w:pPr>
        <w:pStyle w:val="ListParagraph"/>
        <w:numPr>
          <w:ilvl w:val="0"/>
          <w:numId w:val="2"/>
        </w:numPr>
        <w:spacing w:after="80"/>
      </w:pPr>
      <w:r>
        <w:rPr>
          <w:rFonts w:ascii="Arial" w:cs="Arial" w:eastAsia="Arial" w:hAnsi="Arial"/>
          <w:b w:val="false"/>
          <w:bCs w:val="false"/>
          <w:color w:val="111827"/>
          <w:sz w:val="20"/>
          <w:szCs w:val="20"/>
        </w:rPr>
        <w:t xml:space="preserve">CEO Pay Ratio disclosure (required since 2018 under Dodd-Frank Section 953(b))</w:t>
      </w:r>
    </w:p>
    <w:p>
      <w:pPr>
        <w:pStyle w:val="ListParagraph"/>
        <w:numPr>
          <w:ilvl w:val="0"/>
          <w:numId w:val="2"/>
        </w:numPr>
        <w:spacing w:after="80"/>
      </w:pPr>
      <w:r>
        <w:rPr>
          <w:rFonts w:ascii="Arial" w:cs="Arial" w:eastAsia="Arial" w:hAnsi="Arial"/>
          <w:b w:val="false"/>
          <w:bCs w:val="false"/>
          <w:color w:val="111827"/>
          <w:sz w:val="20"/>
          <w:szCs w:val="20"/>
        </w:rPr>
        <w:t xml:space="preserve">Pay Versus Performance (PvP) table (required since 2022 for fiscal years ending after Dec 16, 2022)</w:t>
      </w:r>
    </w:p>
    <w:p>
      <w:pPr>
        <w:spacing w:after="200"/>
      </w:pPr>
    </w:p>
    <w:p>
      <w:r>
        <w:br w:type="page"/>
      </w:r>
    </w:p>
    <w:p>
      <w:pPr>
        <w:pStyle w:val="Heading1"/>
        <w:spacing w:before="480" w:after="120"/>
      </w:pPr>
      <w:r>
        <w:rPr>
          <w:rFonts w:ascii="Arial" w:cs="Arial" w:eastAsia="Arial" w:hAnsi="Arial"/>
          <w:b/>
          <w:bCs/>
          <w:color w:val="1B3A6B"/>
          <w:sz w:val="36"/>
          <w:szCs w:val="36"/>
        </w:rPr>
        <w:t xml:space="preserve">5. Ownership &amp; Insider Transaction Filings</w:t>
      </w:r>
    </w:p>
    <w:p>
      <w:pPr>
        <w:pBdr>
          <w:bottom w:val="single" w:color="1B3A6B" w:sz="12" w:space="1"/>
        </w:pBdr>
        <w:spacing w:after="200"/>
      </w:pPr>
    </w:p>
    <w:p>
      <w:pPr>
        <w:spacing w:after="140"/>
      </w:pPr>
      <w:r>
        <w:rPr>
          <w:rFonts w:ascii="Arial" w:cs="Arial" w:eastAsia="Arial" w:hAnsi="Arial"/>
          <w:color w:val="111827"/>
          <w:sz w:val="20"/>
          <w:szCs w:val="20"/>
        </w:rPr>
        <w:t xml:space="preserve">Beneficial ownership and insider trading disclosures are a cornerstone of U.S. securities law. These filings ensure transparency around who controls significant shares of public companies and how insiders are transacting in company securities.</w:t>
      </w:r>
    </w:p>
    <w:p>
      <w:pPr>
        <w:pStyle w:val="Heading2"/>
        <w:spacing w:before="360" w:after="100"/>
      </w:pPr>
      <w:r>
        <w:rPr>
          <w:rFonts w:ascii="Arial" w:cs="Arial" w:eastAsia="Arial" w:hAnsi="Arial"/>
          <w:b/>
          <w:bCs/>
          <w:color w:val="1B3A6B"/>
          <w:sz w:val="28"/>
          <w:szCs w:val="28"/>
        </w:rPr>
        <w:t xml:space="preserve">5.1  Beneficial Ownership (Sections 13 &amp;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 13D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Beneficial Ownership Report — filed by any person or group acquiring &gt;5% of a class of equity securities with intent to influence or control the company. Must be filed within 10 days of crossing 5% threshold.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10 days of acquisition; amendments within 1 business day of material change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Schedule 13G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Short-form beneficial ownership report for passive investors (&gt;5% holders who do not intend to influence control). Available to qualified institutional investors and persons holding &lt;20%.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45 days after calendar year end; certain filers within 10 days of month end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 13D/A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Amendment to Schedule 13D upon material change in ownership or intentions.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 business day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Schedule 13G/A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Amendment to Schedule 13G.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10 calendar days after month end or 45 days after year end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 13F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 report of institutional investment managers with &gt;$100M in Section 13(f) securities. Lists all long equity positions by issuer and share count.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45 days after each calendar quarter 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Initial Statement of Beneficial Ownership — filed by officers, directors, and &gt;10% shareholders upon first becoming subject to Section 16.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10 days of becoming subject to Section 16</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Statement of Changes in Beneficial Ownership — filed by Section 16 insiders upon any transaction in company securities (purchases, sales, option exercises, gifts).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 business days after the transaction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5</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Statement of Beneficial Ownership — for deferred reporting of transactions exempt from Form 4 real-time reporting requirements.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45 days after fiscal year end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120"/>
      </w:pPr>
    </w:p>
    <w:p>
      <w:r>
        <w:rPr>
          <w:rFonts w:ascii="Arial" w:cs="Arial" w:eastAsia="Arial" w:hAnsi="Arial"/>
          <w:b/>
          <w:bCs/>
          <w:color w:val="1B3A6B"/>
          <w:sz w:val="20"/>
          <w:szCs w:val="20"/>
        </w:rPr>
        <w:t xml:space="preserve">EDGAR Ownership Search:</w:t>
      </w:r>
      <w:r>
        <w:rPr>
          <w:rFonts w:ascii="Arial" w:cs="Arial" w:eastAsia="Arial" w:hAnsi="Arial"/>
          <w:color w:val="111827"/>
          <w:sz w:val="20"/>
          <w:szCs w:val="20"/>
        </w:rPr>
        <w:t xml:space="preserve"> </w:t>
      </w:r>
      <w:hyperlink w:history="1" r:id="rIdwdmbxdwpkrhv3lwjjfzeo">
        <w:r>
          <w:rPr>
            <w:rFonts w:ascii="Arial" w:cs="Arial" w:eastAsia="Arial" w:hAnsi="Arial"/>
            <w:color w:val="2563EB"/>
            <w:sz w:val="20"/>
            <w:szCs w:val="20"/>
            <w:u w:val="single"/>
          </w:rPr>
          <w:t xml:space="preserve">Search all ownership filings</w:t>
        </w:r>
      </w:hyperlink>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single" w:color="0EA5E9" w:sz="12"/>
              <w:bottom w:val="single" w:color="CBD5E1" w:sz="1"/>
              <w:right w:val="single" w:color="CBD5E1" w:sz="1"/>
            </w:tcBorders>
            <w:shd w:fill="EFF6FF" w:val="clear"/>
            <w:tcMar>
              <w:top w:type="dxa" w:w="120"/>
              <w:left w:type="dxa" w:w="200"/>
              <w:bottom w:type="dxa" w:w="120"/>
              <w:right w:type="dxa" w:w="120"/>
            </w:tcMar>
          </w:tcPr>
          <w:p>
            <w:pPr>
              <w:spacing w:after="60"/>
            </w:pPr>
            <w:r>
              <w:rPr>
                <w:rFonts w:ascii="Arial" w:cs="Arial" w:eastAsia="Arial" w:hAnsi="Arial"/>
                <w:b/>
                <w:bCs/>
                <w:color w:val="1B3A6B"/>
                <w:sz w:val="20"/>
                <w:szCs w:val="20"/>
              </w:rPr>
              <w:t xml:space="preserve">Section 16 Insider Trading Threshold</w:t>
            </w:r>
          </w:p>
          <w:p>
            <w:pPr>
              <w:spacing w:after="40"/>
            </w:pPr>
            <w:r>
              <w:rPr>
                <w:rFonts w:ascii="Arial" w:cs="Arial" w:eastAsia="Arial" w:hAnsi="Arial"/>
                <w:color w:val="111827"/>
                <w:sz w:val="18"/>
                <w:szCs w:val="18"/>
              </w:rPr>
              <w:t xml:space="preserve">Officers, directors, and holders of &gt;10% of any class of equity security are classified as 'insiders' under Section 16 of the Securities Exchange Act of 1934. They must report all transactions in company securities within 2 business days and return any 'short-swing profits' (profits from purchases and sales within any 6-month period) to the company, regardless of intent.</w:t>
            </w:r>
          </w:p>
        </w:tc>
      </w:tr>
    </w:tbl>
    <w:p>
      <w:pPr>
        <w:spacing w:after="200"/>
      </w:pPr>
    </w:p>
    <w:p>
      <w:pPr>
        <w:pStyle w:val="Heading2"/>
        <w:spacing w:before="360" w:after="100"/>
      </w:pPr>
      <w:r>
        <w:rPr>
          <w:rFonts w:ascii="Arial" w:cs="Arial" w:eastAsia="Arial" w:hAnsi="Arial"/>
          <w:b/>
          <w:bCs/>
          <w:color w:val="1B3A6B"/>
          <w:sz w:val="28"/>
          <w:szCs w:val="28"/>
        </w:rPr>
        <w:t xml:space="preserve">5.2  Tender Offer &amp; Merger Filings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 TO</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Tender Offer Statement — filed by acquirer making a tender offer for &gt;5% of a class of equity. Must include offer terms, conditions, and financial information.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at commencement of offer</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Schedule 14D-9</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Solicitation/Recommendation Statement — filed by the target company's board recommending acceptance or rejection of a tender offer.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10 business days after tender offer commencement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Schedule 13E-3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Going-Private Transaction Statement — filed when a public company is taken private by affiliates. Requires fairness opinion and detailed financial analysis.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Filed with transaction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200"/>
      </w:pPr>
    </w:p>
    <w:p>
      <w:r>
        <w:br w:type="page"/>
      </w:r>
    </w:p>
    <w:p>
      <w:pPr>
        <w:pStyle w:val="Heading1"/>
        <w:spacing w:before="480" w:after="120"/>
      </w:pPr>
      <w:r>
        <w:rPr>
          <w:rFonts w:ascii="Arial" w:cs="Arial" w:eastAsia="Arial" w:hAnsi="Arial"/>
          <w:b/>
          <w:bCs/>
          <w:color w:val="1B3A6B"/>
          <w:sz w:val="36"/>
          <w:szCs w:val="36"/>
        </w:rPr>
        <w:t xml:space="preserve">6. Banking &amp; Financial Institution Regulatory Filings</w:t>
      </w:r>
    </w:p>
    <w:p>
      <w:pPr>
        <w:pBdr>
          <w:bottom w:val="single" w:color="1B3A6B" w:sz="12" w:space="1"/>
        </w:pBdr>
        <w:spacing w:after="200"/>
      </w:pPr>
    </w:p>
    <w:p>
      <w:pPr>
        <w:spacing w:after="140"/>
      </w:pPr>
      <w:r>
        <w:rPr>
          <w:rFonts w:ascii="Arial" w:cs="Arial" w:eastAsia="Arial" w:hAnsi="Arial"/>
          <w:color w:val="111827"/>
          <w:sz w:val="20"/>
          <w:szCs w:val="20"/>
        </w:rPr>
        <w:t xml:space="preserve">Banks, thrifts, credit unions, bank holding companies, and other financial institutions are subject to a separate and extensive layer of regulatory reporting requirements beyond SEC filings. These reports are filed with the Federal Reserve, FDIC, OCC, FFIEC, and state banking regulators. They are publicly accessible via the FFIEC Central Data Repository, FDIC BankFind, and the Federal Reserve's public databases.</w:t>
      </w:r>
    </w:p>
    <w:p>
      <w:pPr>
        <w:pStyle w:val="Heading2"/>
        <w:spacing w:before="360" w:after="100"/>
      </w:pPr>
      <w:r>
        <w:rPr>
          <w:rFonts w:ascii="Arial" w:cs="Arial" w:eastAsia="Arial" w:hAnsi="Arial"/>
          <w:b/>
          <w:bCs/>
          <w:color w:val="1B3A6B"/>
          <w:sz w:val="28"/>
          <w:szCs w:val="28"/>
        </w:rPr>
        <w:t xml:space="preserve">6.1  Call Reports (FFIEC)</w:t>
      </w:r>
    </w:p>
    <w:p>
      <w:pPr>
        <w:spacing w:after="140"/>
      </w:pPr>
      <w:r>
        <w:rPr>
          <w:rFonts w:ascii="Arial" w:cs="Arial" w:eastAsia="Arial" w:hAnsi="Arial"/>
          <w:color w:val="111827"/>
          <w:sz w:val="20"/>
          <w:szCs w:val="20"/>
        </w:rPr>
        <w:t xml:space="preserve">Call Reports are the primary financial regulatory reports filed by all FDIC-insured institutions quarterly. They provide granular balance sheet, income statement, and off-balance-sheet data used by regulators to monitor bank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FFIEC 031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Call Report — filed by banks with domestic AND foreign offices. The most comprehensive form, including schedules for international activities.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 (30-day deadline)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FFIEC / FDIC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FFIEC 041</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Call Report — filed by banks with domestic offices ONLY (assets ≥$100B or significant complexity).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Quarterly (30-day deadline)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FFIEC / FDIC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FFIEC 051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Streamlined Call Report — filed by qualifying community banks with &lt;$5B in total assets and no foreign offices.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 (30-day deadline for most schedules)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FFIEC / FDIC</w:t>
            </w:r>
          </w:p>
        </w:tc>
      </w:tr>
    </w:tbl>
    <w:p>
      <w:pPr>
        <w:spacing w:after="120"/>
      </w:pPr>
    </w:p>
    <w:p>
      <w:r>
        <w:rPr>
          <w:rFonts w:ascii="Arial" w:cs="Arial" w:eastAsia="Arial" w:hAnsi="Arial"/>
          <w:b/>
          <w:bCs/>
          <w:color w:val="1B3A6B"/>
          <w:sz w:val="20"/>
          <w:szCs w:val="20"/>
        </w:rPr>
        <w:t xml:space="preserve">Public Call Report Database:</w:t>
      </w:r>
      <w:r>
        <w:rPr>
          <w:rFonts w:ascii="Arial" w:cs="Arial" w:eastAsia="Arial" w:hAnsi="Arial"/>
          <w:color w:val="111827"/>
          <w:sz w:val="20"/>
          <w:szCs w:val="20"/>
        </w:rPr>
        <w:t xml:space="preserve"> </w:t>
      </w:r>
      <w:hyperlink w:history="1" r:id="rIdcvebsf4vh3gqfwukngivj">
        <w:r>
          <w:rPr>
            <w:rFonts w:ascii="Arial" w:cs="Arial" w:eastAsia="Arial" w:hAnsi="Arial"/>
            <w:color w:val="2563EB"/>
            <w:sz w:val="20"/>
            <w:szCs w:val="20"/>
            <w:u w:val="single"/>
          </w:rPr>
          <w:t xml:space="preserve">FFIEC Central Data Repository (CDR) Public)</w:t>
        </w:r>
      </w:hyperlink>
    </w:p>
    <w:p>
      <w:r>
        <w:rPr>
          <w:rFonts w:ascii="Arial" w:cs="Arial" w:eastAsia="Arial" w:hAnsi="Arial"/>
          <w:b/>
          <w:bCs/>
          <w:color w:val="1B3A6B"/>
          <w:sz w:val="20"/>
          <w:szCs w:val="20"/>
        </w:rPr>
        <w:t xml:space="preserve">FDIC BankFind Suite:</w:t>
      </w:r>
      <w:r>
        <w:rPr>
          <w:rFonts w:ascii="Arial" w:cs="Arial" w:eastAsia="Arial" w:hAnsi="Arial"/>
          <w:color w:val="111827"/>
          <w:sz w:val="20"/>
          <w:szCs w:val="20"/>
        </w:rPr>
        <w:t xml:space="preserve"> </w:t>
      </w:r>
      <w:hyperlink w:history="1" r:id="rIdt9ilacd5hb3hgjbqoeevx">
        <w:r>
          <w:rPr>
            <w:rFonts w:ascii="Arial" w:cs="Arial" w:eastAsia="Arial" w:hAnsi="Arial"/>
            <w:color w:val="2563EB"/>
            <w:sz w:val="20"/>
            <w:szCs w:val="20"/>
            <w:u w:val="single"/>
          </w:rPr>
          <w:t xml:space="preserve">FDIC BankFind — Find Call Report Data</w:t>
        </w:r>
      </w:hyperlink>
    </w:p>
    <w:p>
      <w:pPr>
        <w:spacing w:after="120"/>
      </w:pPr>
    </w:p>
    <w:p>
      <w:pPr>
        <w:spacing w:after="140"/>
      </w:pPr>
      <w:r>
        <w:rPr>
          <w:rFonts w:ascii="Arial" w:cs="Arial" w:eastAsia="Arial" w:hAnsi="Arial"/>
          <w:color w:val="111827"/>
          <w:sz w:val="20"/>
          <w:szCs w:val="20"/>
        </w:rPr>
        <w:t xml:space="preserve">Key Call Report schedules include:</w:t>
      </w:r>
    </w:p>
    <w:p>
      <w:pPr>
        <w:pStyle w:val="ListParagraph"/>
        <w:numPr>
          <w:ilvl w:val="0"/>
          <w:numId w:val="2"/>
        </w:numPr>
        <w:spacing w:after="80"/>
      </w:pPr>
      <w:r>
        <w:rPr>
          <w:rFonts w:ascii="Arial" w:cs="Arial" w:eastAsia="Arial" w:hAnsi="Arial"/>
          <w:b w:val="false"/>
          <w:bCs w:val="false"/>
          <w:color w:val="111827"/>
          <w:sz w:val="20"/>
          <w:szCs w:val="20"/>
        </w:rPr>
        <w:t xml:space="preserve">Schedule RC — Balance Sheet (assets, liabilities, equity)</w:t>
      </w:r>
    </w:p>
    <w:p>
      <w:pPr>
        <w:pStyle w:val="ListParagraph"/>
        <w:numPr>
          <w:ilvl w:val="0"/>
          <w:numId w:val="2"/>
        </w:numPr>
        <w:spacing w:after="80"/>
      </w:pPr>
      <w:r>
        <w:rPr>
          <w:rFonts w:ascii="Arial" w:cs="Arial" w:eastAsia="Arial" w:hAnsi="Arial"/>
          <w:b w:val="false"/>
          <w:bCs w:val="false"/>
          <w:color w:val="111827"/>
          <w:sz w:val="20"/>
          <w:szCs w:val="20"/>
        </w:rPr>
        <w:t xml:space="preserve">Schedule RI — Income Statement (net interest income, provisions, noninterest income/expense, taxes)</w:t>
      </w:r>
    </w:p>
    <w:p>
      <w:pPr>
        <w:pStyle w:val="ListParagraph"/>
        <w:numPr>
          <w:ilvl w:val="0"/>
          <w:numId w:val="2"/>
        </w:numPr>
        <w:spacing w:after="80"/>
      </w:pPr>
      <w:r>
        <w:rPr>
          <w:rFonts w:ascii="Arial" w:cs="Arial" w:eastAsia="Arial" w:hAnsi="Arial"/>
          <w:b w:val="false"/>
          <w:bCs w:val="false"/>
          <w:color w:val="111827"/>
          <w:sz w:val="20"/>
          <w:szCs w:val="20"/>
        </w:rPr>
        <w:t xml:space="preserve">Schedule RC-B — Securities (AFS, HTM portfolios by category)</w:t>
      </w:r>
    </w:p>
    <w:p>
      <w:pPr>
        <w:pStyle w:val="ListParagraph"/>
        <w:numPr>
          <w:ilvl w:val="0"/>
          <w:numId w:val="2"/>
        </w:numPr>
        <w:spacing w:after="80"/>
      </w:pPr>
      <w:r>
        <w:rPr>
          <w:rFonts w:ascii="Arial" w:cs="Arial" w:eastAsia="Arial" w:hAnsi="Arial"/>
          <w:b w:val="false"/>
          <w:bCs w:val="false"/>
          <w:color w:val="111827"/>
          <w:sz w:val="20"/>
          <w:szCs w:val="20"/>
        </w:rPr>
        <w:t xml:space="preserve">Schedule RC-C — Loans and Lease Financing Receivables (by loan type and risk rating)</w:t>
      </w:r>
    </w:p>
    <w:p>
      <w:pPr>
        <w:pStyle w:val="ListParagraph"/>
        <w:numPr>
          <w:ilvl w:val="0"/>
          <w:numId w:val="2"/>
        </w:numPr>
        <w:spacing w:after="80"/>
      </w:pPr>
      <w:r>
        <w:rPr>
          <w:rFonts w:ascii="Arial" w:cs="Arial" w:eastAsia="Arial" w:hAnsi="Arial"/>
          <w:b w:val="false"/>
          <w:bCs w:val="false"/>
          <w:color w:val="111827"/>
          <w:sz w:val="20"/>
          <w:szCs w:val="20"/>
        </w:rPr>
        <w:t xml:space="preserve">Schedule RC-D — Trading Assets and Liabilities</w:t>
      </w:r>
    </w:p>
    <w:p>
      <w:pPr>
        <w:pStyle w:val="ListParagraph"/>
        <w:numPr>
          <w:ilvl w:val="0"/>
          <w:numId w:val="2"/>
        </w:numPr>
        <w:spacing w:after="80"/>
      </w:pPr>
      <w:r>
        <w:rPr>
          <w:rFonts w:ascii="Arial" w:cs="Arial" w:eastAsia="Arial" w:hAnsi="Arial"/>
          <w:b w:val="false"/>
          <w:bCs w:val="false"/>
          <w:color w:val="111827"/>
          <w:sz w:val="20"/>
          <w:szCs w:val="20"/>
        </w:rPr>
        <w:t xml:space="preserve">Schedule RC-K — Quarterly Averages</w:t>
      </w:r>
    </w:p>
    <w:p>
      <w:pPr>
        <w:pStyle w:val="ListParagraph"/>
        <w:numPr>
          <w:ilvl w:val="0"/>
          <w:numId w:val="2"/>
        </w:numPr>
        <w:spacing w:after="80"/>
      </w:pPr>
      <w:r>
        <w:rPr>
          <w:rFonts w:ascii="Arial" w:cs="Arial" w:eastAsia="Arial" w:hAnsi="Arial"/>
          <w:b w:val="false"/>
          <w:bCs w:val="false"/>
          <w:color w:val="111827"/>
          <w:sz w:val="20"/>
          <w:szCs w:val="20"/>
        </w:rPr>
        <w:t xml:space="preserve">Schedule RC-R — Regulatory Capital (CET1, Tier 1, Total Capital ratios)</w:t>
      </w:r>
    </w:p>
    <w:p>
      <w:pPr>
        <w:pStyle w:val="ListParagraph"/>
        <w:numPr>
          <w:ilvl w:val="0"/>
          <w:numId w:val="2"/>
        </w:numPr>
        <w:spacing w:after="80"/>
      </w:pPr>
      <w:r>
        <w:rPr>
          <w:rFonts w:ascii="Arial" w:cs="Arial" w:eastAsia="Arial" w:hAnsi="Arial"/>
          <w:b w:val="false"/>
          <w:bCs w:val="false"/>
          <w:color w:val="111827"/>
          <w:sz w:val="20"/>
          <w:szCs w:val="20"/>
        </w:rPr>
        <w:t xml:space="preserve">Schedule RC-S — Servicing, Securitization, and Asset Sale Activities</w:t>
      </w:r>
    </w:p>
    <w:p>
      <w:pPr>
        <w:spacing w:after="200"/>
      </w:pPr>
    </w:p>
    <w:p>
      <w:pPr>
        <w:pStyle w:val="Heading2"/>
        <w:spacing w:before="360" w:after="100"/>
      </w:pPr>
      <w:r>
        <w:rPr>
          <w:rFonts w:ascii="Arial" w:cs="Arial" w:eastAsia="Arial" w:hAnsi="Arial"/>
          <w:b/>
          <w:bCs/>
          <w:color w:val="1B3A6B"/>
          <w:sz w:val="28"/>
          <w:szCs w:val="28"/>
        </w:rPr>
        <w:t xml:space="preserve">6.2  Federal Reserve Bank Holding Company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 Y-9C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Consolidated Financial Statements for Bank Holding Companies — equivalent of the Call Report for bank holding companies (BHCs). Filed quarterly by BHCs with &gt;$3B in total assets.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 (40 calendar days after quarter 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FR Y-9LP</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Parent Company Only Financial Statements — filed quarterly by BHCs with &gt;$1B in assets (non-public BHCs) or as a supplement to Y-9C.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Quarterly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 Y-9SP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Small BHC Financial Statements — simplified form for BHCs with &lt;$3B total assets.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Semi-annual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FR Y-6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Report of Bank Holding Companies — organizational structure, ownership, and business activities. Confidential but structure data is public.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 Y-8</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Report of Savings Banks — for savings institutions regulated by the Fed.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FR Y-10</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Report of Changes in Organizational Structure — filed within 30 days of any organizational change.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Event-driven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 Y-14A/Q/M</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Capital Assessments and Stress Testing data — used in DFAST/CCAR stress tests for large BHCs (&gt;$100B assets).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 Quarterly / Monthly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FR 2052a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Complex Institution Liquidity Monitoring Report — daily liquidity data for the largest, most systemically important banks.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Daily / Monthly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bl>
    <w:p>
      <w:pPr>
        <w:spacing w:after="120"/>
      </w:pPr>
    </w:p>
    <w:p>
      <w:r>
        <w:rPr>
          <w:rFonts w:ascii="Arial" w:cs="Arial" w:eastAsia="Arial" w:hAnsi="Arial"/>
          <w:b/>
          <w:bCs/>
          <w:color w:val="1B3A6B"/>
          <w:sz w:val="20"/>
          <w:szCs w:val="20"/>
        </w:rPr>
        <w:t xml:space="preserve">Federal Reserve Data Portal:</w:t>
      </w:r>
      <w:r>
        <w:rPr>
          <w:rFonts w:ascii="Arial" w:cs="Arial" w:eastAsia="Arial" w:hAnsi="Arial"/>
          <w:color w:val="111827"/>
          <w:sz w:val="20"/>
          <w:szCs w:val="20"/>
        </w:rPr>
        <w:t xml:space="preserve"> </w:t>
      </w:r>
      <w:hyperlink w:history="1" r:id="rIdwaff97c5lc6smaj6-vd30">
        <w:r>
          <w:rPr>
            <w:rFonts w:ascii="Arial" w:cs="Arial" w:eastAsia="Arial" w:hAnsi="Arial"/>
            <w:color w:val="2563EB"/>
            <w:sz w:val="20"/>
            <w:szCs w:val="20"/>
            <w:u w:val="single"/>
          </w:rPr>
          <w:t xml:space="preserve">FRB Public Data — Bank Holding Company Performance Report</w:t>
        </w:r>
      </w:hyperlink>
    </w:p>
    <w:p>
      <w:pPr>
        <w:spacing w:after="200"/>
      </w:pPr>
    </w:p>
    <w:p>
      <w:pPr>
        <w:pStyle w:val="Heading2"/>
        <w:spacing w:before="360" w:after="100"/>
      </w:pPr>
      <w:r>
        <w:rPr>
          <w:rFonts w:ascii="Arial" w:cs="Arial" w:eastAsia="Arial" w:hAnsi="Arial"/>
          <w:b/>
          <w:bCs/>
          <w:color w:val="1B3A6B"/>
          <w:sz w:val="28"/>
          <w:szCs w:val="28"/>
        </w:rPr>
        <w:t xml:space="preserve">6.3  OCC &amp; National Bank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Call Report (OCC)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National banks and federal savings associations file the same FFIEC Call Report series with the OCC as their primary regulator.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OCC / FFIEC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Quarterly Management Report (QMR)</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Internal report for OCC-supervised banks — used by examiners but certain aggregated data is published.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Quarterly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OCC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Bank Secrecy Act (BSA) Reports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FinCEN-required reports including Suspicious Activity Reports (SARs) and Currency Transaction Reports (CTRs) — filed by all financial institutions.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Event-driven (SARs: 30-60 days; CTRs: 15 days)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FinCEN / OCC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CRA Public File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Community Reinvestment Act performance evaluation and ratings — publicly available at each branch and on regulator websites.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Available on request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OCC / FDIC / Fed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HMDA LAR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Home Mortgage Disclosure Act Loan Application Register — detailed data on all mortgage applications, including race, income, and outcome. Public.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(March 1 deadline)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CFPB / FFIEC</w:t>
            </w:r>
          </w:p>
        </w:tc>
      </w:tr>
    </w:tbl>
    <w:p>
      <w:pPr>
        <w:spacing w:after="120"/>
      </w:pPr>
    </w:p>
    <w:p>
      <w:r>
        <w:rPr>
          <w:rFonts w:ascii="Arial" w:cs="Arial" w:eastAsia="Arial" w:hAnsi="Arial"/>
          <w:b/>
          <w:bCs/>
          <w:color w:val="1B3A6B"/>
          <w:sz w:val="20"/>
          <w:szCs w:val="20"/>
        </w:rPr>
        <w:t xml:space="preserve">OCC Bank Search:</w:t>
      </w:r>
      <w:r>
        <w:rPr>
          <w:rFonts w:ascii="Arial" w:cs="Arial" w:eastAsia="Arial" w:hAnsi="Arial"/>
          <w:color w:val="111827"/>
          <w:sz w:val="20"/>
          <w:szCs w:val="20"/>
        </w:rPr>
        <w:t xml:space="preserve"> </w:t>
      </w:r>
      <w:hyperlink w:history="1" r:id="rIdqvlev9lhzrmygqwetmdnj">
        <w:r>
          <w:rPr>
            <w:rFonts w:ascii="Arial" w:cs="Arial" w:eastAsia="Arial" w:hAnsi="Arial"/>
            <w:color w:val="2563EB"/>
            <w:sz w:val="20"/>
            <w:szCs w:val="20"/>
            <w:u w:val="single"/>
          </w:rPr>
          <w:t xml:space="preserve">OCC Banker Resource Center</w:t>
        </w:r>
      </w:hyperlink>
    </w:p>
    <w:p>
      <w:r>
        <w:rPr>
          <w:rFonts w:ascii="Arial" w:cs="Arial" w:eastAsia="Arial" w:hAnsi="Arial"/>
          <w:b/>
          <w:bCs/>
          <w:color w:val="1B3A6B"/>
          <w:sz w:val="20"/>
          <w:szCs w:val="20"/>
        </w:rPr>
        <w:t xml:space="preserve">HMDA Data:</w:t>
      </w:r>
      <w:r>
        <w:rPr>
          <w:rFonts w:ascii="Arial" w:cs="Arial" w:eastAsia="Arial" w:hAnsi="Arial"/>
          <w:color w:val="111827"/>
          <w:sz w:val="20"/>
          <w:szCs w:val="20"/>
        </w:rPr>
        <w:t xml:space="preserve"> </w:t>
      </w:r>
      <w:hyperlink w:history="1" r:id="rId2raergfwbmfow01olksqk">
        <w:r>
          <w:rPr>
            <w:rFonts w:ascii="Arial" w:cs="Arial" w:eastAsia="Arial" w:hAnsi="Arial"/>
            <w:color w:val="2563EB"/>
            <w:sz w:val="20"/>
            <w:szCs w:val="20"/>
            <w:u w:val="single"/>
          </w:rPr>
          <w:t xml:space="preserve">CFPB HMDA Explorer</w:t>
        </w:r>
      </w:hyperlink>
    </w:p>
    <w:p>
      <w:pPr>
        <w:spacing w:after="200"/>
      </w:pPr>
    </w:p>
    <w:p>
      <w:pPr>
        <w:pStyle w:val="Heading2"/>
        <w:spacing w:before="360" w:after="100"/>
      </w:pPr>
      <w:r>
        <w:rPr>
          <w:rFonts w:ascii="Arial" w:cs="Arial" w:eastAsia="Arial" w:hAnsi="Arial"/>
          <w:b/>
          <w:bCs/>
          <w:color w:val="1B3A6B"/>
          <w:sz w:val="28"/>
          <w:szCs w:val="28"/>
        </w:rPr>
        <w:t xml:space="preserve">6.4  FDIC-Specific Reports &amp;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FDIC Summary of Deposits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survey of deposits by branch for all FDIC-insured institutions. Used to calculate deposit market share.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(June 30 snapshot; published September)</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FDIC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Failed Bank List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FDIC public database of all bank failures since 2000, including assets, deposits, and resolution method.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Continuous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FDIC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FDIC Statistics on Depository Institutions (SDI)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Aggregated financial data for all FDIC-insured institutions — balance sheet, income, ratios, and peer group data.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FDIC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FDIC Bank Examination Reports (LFI)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Large Financial Institution examination reports — portions are made public after a delay.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As conducted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FDIC</w:t>
            </w:r>
          </w:p>
        </w:tc>
      </w:tr>
    </w:tbl>
    <w:p>
      <w:pPr>
        <w:spacing w:after="120"/>
      </w:pPr>
    </w:p>
    <w:p>
      <w:r>
        <w:rPr>
          <w:rFonts w:ascii="Arial" w:cs="Arial" w:eastAsia="Arial" w:hAnsi="Arial"/>
          <w:b/>
          <w:bCs/>
          <w:color w:val="1B3A6B"/>
          <w:sz w:val="20"/>
          <w:szCs w:val="20"/>
        </w:rPr>
        <w:t xml:space="preserve">FDIC BankFind Suite:</w:t>
      </w:r>
      <w:r>
        <w:rPr>
          <w:rFonts w:ascii="Arial" w:cs="Arial" w:eastAsia="Arial" w:hAnsi="Arial"/>
          <w:color w:val="111827"/>
          <w:sz w:val="20"/>
          <w:szCs w:val="20"/>
        </w:rPr>
        <w:t xml:space="preserve"> </w:t>
      </w:r>
      <w:hyperlink w:history="1" r:id="rIdcv32nd-ksux-uu6tesbij">
        <w:r>
          <w:rPr>
            <w:rFonts w:ascii="Arial" w:cs="Arial" w:eastAsia="Arial" w:hAnsi="Arial"/>
            <w:color w:val="2563EB"/>
            <w:sz w:val="20"/>
            <w:szCs w:val="20"/>
            <w:u w:val="single"/>
          </w:rPr>
          <w:t xml:space="preserve">https://banks.data.fdic.gov/</w:t>
        </w:r>
      </w:hyperlink>
    </w:p>
    <w:p>
      <w:pPr>
        <w:spacing w:after="200"/>
      </w:pPr>
    </w:p>
    <w:p>
      <w:pPr>
        <w:pStyle w:val="Heading2"/>
        <w:spacing w:before="360" w:after="100"/>
      </w:pPr>
      <w:r>
        <w:rPr>
          <w:rFonts w:ascii="Arial" w:cs="Arial" w:eastAsia="Arial" w:hAnsi="Arial"/>
          <w:b/>
          <w:bCs/>
          <w:color w:val="1B3A6B"/>
          <w:sz w:val="28"/>
          <w:szCs w:val="28"/>
        </w:rPr>
        <w:t xml:space="preserve">6.5  Stress Testing &amp; Capital Adequacy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DFAST — Dodd-Frank Stress Test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stress test results for banks with &gt;$100B in assets. Results published publicly, showing projected capital levels under severely adverse scenarios.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(results published June-July)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 / OCC / FDIC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CCAR — Comprehensive Capital Analysis &amp; Review</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capital plan review for the largest BHCs. Fed evaluates capital adequacy and approves or objects to capital return plans (buybacks, dividends).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(capital plans submitted April 5)</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SCB — Stress Capital Buffer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Firm-specific capital buffers derived from DFAST results, effective since 2020. Replaces the static 2.5% capital conservation buffer for large BHCs.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update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Pillar 3 Disclosure (Basel III)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Publicly required disclosure of capital structure, risk-weighted assets, leverage ratio, and liquidity coverage ratio for Advanced Approaches banks.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Quarterly (some items annual)</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 / OCC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LCR — Liquidity Coverage Ratio Disclosure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Public disclosure of the daily average LCR over the prior quarter for large banks. Ensures banks hold sufficient HQLA to cover 30-day net cash outflows.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Quarterly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Federal Reserve / OCC</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NSFR — Net Stable Funding Ratio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Required disclosure for large banks with &gt;$100B in assets — measures long-term stable funding relative to required stable funding.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 Quarterly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Federal Reserve</w:t>
            </w:r>
          </w:p>
        </w:tc>
      </w:tr>
    </w:tbl>
    <w:p>
      <w:pPr>
        <w:spacing w:after="120"/>
      </w:pPr>
    </w:p>
    <w:p>
      <w:r>
        <w:rPr>
          <w:rFonts w:ascii="Arial" w:cs="Arial" w:eastAsia="Arial" w:hAnsi="Arial"/>
          <w:b/>
          <w:bCs/>
          <w:color w:val="1B3A6B"/>
          <w:sz w:val="20"/>
          <w:szCs w:val="20"/>
        </w:rPr>
        <w:t xml:space="preserve">Fed Stress Test Results:</w:t>
      </w:r>
      <w:r>
        <w:rPr>
          <w:rFonts w:ascii="Arial" w:cs="Arial" w:eastAsia="Arial" w:hAnsi="Arial"/>
          <w:color w:val="111827"/>
          <w:sz w:val="20"/>
          <w:szCs w:val="20"/>
        </w:rPr>
        <w:t xml:space="preserve"> </w:t>
      </w:r>
      <w:hyperlink w:history="1" r:id="rIdmdo68zca5wcws60begd2b">
        <w:r>
          <w:rPr>
            <w:rFonts w:ascii="Arial" w:cs="Arial" w:eastAsia="Arial" w:hAnsi="Arial"/>
            <w:color w:val="2563EB"/>
            <w:sz w:val="20"/>
            <w:szCs w:val="20"/>
            <w:u w:val="single"/>
          </w:rPr>
          <w:t xml:space="preserve">Federal Reserve Stress Test Results Page</w:t>
        </w:r>
      </w:hyperlink>
    </w:p>
    <w:p>
      <w:pPr>
        <w:spacing w:after="200"/>
      </w:pPr>
    </w:p>
    <w:p>
      <w:r>
        <w:br w:type="page"/>
      </w:r>
    </w:p>
    <w:p>
      <w:pPr>
        <w:pStyle w:val="Heading1"/>
        <w:spacing w:before="480" w:after="120"/>
      </w:pPr>
      <w:r>
        <w:rPr>
          <w:rFonts w:ascii="Arial" w:cs="Arial" w:eastAsia="Arial" w:hAnsi="Arial"/>
          <w:b/>
          <w:bCs/>
          <w:color w:val="1B3A6B"/>
          <w:sz w:val="36"/>
          <w:szCs w:val="36"/>
        </w:rPr>
        <w:t xml:space="preserve">7. Exchange-Specific Listing Requirements</w:t>
      </w:r>
    </w:p>
    <w:p>
      <w:pPr>
        <w:pBdr>
          <w:bottom w:val="single" w:color="1B3A6B" w:sz="12" w:space="1"/>
        </w:pBdr>
        <w:spacing w:after="200"/>
      </w:pPr>
    </w:p>
    <w:p>
      <w:pPr>
        <w:spacing w:after="140"/>
      </w:pPr>
      <w:r>
        <w:rPr>
          <w:rFonts w:ascii="Arial" w:cs="Arial" w:eastAsia="Arial" w:hAnsi="Arial"/>
          <w:color w:val="111827"/>
          <w:sz w:val="20"/>
          <w:szCs w:val="20"/>
        </w:rPr>
        <w:t xml:space="preserve">In addition to SEC filings, publicly listed companies must comply with the listing standards and reporting requirements of the exchange on which their shares trade. The three major U.S. exchanges — NYSE, NASDAQ, and CBOE — each have their own listing manuals with overlapping but distinct requirements.</w:t>
      </w:r>
    </w:p>
    <w:p>
      <w:pPr>
        <w:pStyle w:val="Heading2"/>
        <w:spacing w:before="360" w:after="100"/>
      </w:pPr>
      <w:r>
        <w:rPr>
          <w:rFonts w:ascii="Arial" w:cs="Arial" w:eastAsia="Arial" w:hAnsi="Arial"/>
          <w:b/>
          <w:bCs/>
          <w:color w:val="1B3A6B"/>
          <w:sz w:val="28"/>
          <w:szCs w:val="28"/>
        </w:rPr>
        <w:t xml:space="preserve">7.1  NYSE Listed Company Manual</w:t>
      </w:r>
    </w:p>
    <w:p>
      <w:pPr>
        <w:spacing w:after="140"/>
      </w:pPr>
      <w:r>
        <w:rPr>
          <w:rFonts w:ascii="Arial" w:cs="Arial" w:eastAsia="Arial" w:hAnsi="Arial"/>
          <w:color w:val="111827"/>
          <w:sz w:val="20"/>
          <w:szCs w:val="20"/>
        </w:rPr>
        <w:t xml:space="preserve">The NYSE Listed Company Manual (Section 3 — Continued Listing Standards) requires listed companies to file certain notices with the NYSE in addition to SEC filings. NYSE-listed companies must also maintain minimum financial standards (market cap, stockholders' equity, earnings) or face delisting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Report to NYSE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Confirmation that annual SEC filing (10-K or 20-F) has been made. Transmitted via NYSE's online portal.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Concurrent with SEC filing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NYSE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 Company Notification (Material News)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Press release distributed through NYSE's approved news distribution service prior to or concurrent with SEC 8-K filing for material events.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Before or concurrent with 8-K</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NYSE Listing Agreement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Signed at IPO. Commits company to ongoing compliance with listing standards, governance, and disclosure requirements.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At IPO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NYSE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 Certification (CEO)</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CEO certification confirming compliance with NYSE corporate governance listing standards.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(within 30 days of annual meeting)</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NYSE Written Affirmation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written affirmation that the company's audit committee charter is compliant with NYSE standards.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NYSE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 Share Issuance Approval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Required when issuing shares that increase outstanding shares by &gt;20% (subject to shareholder approval in most cases).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Before issuance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NYSE</w:t>
            </w:r>
          </w:p>
        </w:tc>
      </w:tr>
    </w:tbl>
    <w:p>
      <w:pPr>
        <w:spacing w:after="120"/>
      </w:pPr>
    </w:p>
    <w:p>
      <w:r>
        <w:rPr>
          <w:rFonts w:ascii="Arial" w:cs="Arial" w:eastAsia="Arial" w:hAnsi="Arial"/>
          <w:b/>
          <w:bCs/>
          <w:color w:val="1B3A6B"/>
          <w:sz w:val="20"/>
          <w:szCs w:val="20"/>
        </w:rPr>
        <w:t xml:space="preserve">NYSE Listed Company Manual:</w:t>
      </w:r>
      <w:r>
        <w:rPr>
          <w:rFonts w:ascii="Arial" w:cs="Arial" w:eastAsia="Arial" w:hAnsi="Arial"/>
          <w:color w:val="111827"/>
          <w:sz w:val="20"/>
          <w:szCs w:val="20"/>
        </w:rPr>
        <w:t xml:space="preserve"> </w:t>
      </w:r>
      <w:hyperlink w:history="1" r:id="rIdvu6vethk_ghzilvnwp-u8">
        <w:r>
          <w:rPr>
            <w:rFonts w:ascii="Arial" w:cs="Arial" w:eastAsia="Arial" w:hAnsi="Arial"/>
            <w:color w:val="2563EB"/>
            <w:sz w:val="20"/>
            <w:szCs w:val="20"/>
            <w:u w:val="single"/>
          </w:rPr>
          <w:t xml:space="preserve">NYSE Listed Company Manual Online</w:t>
        </w:r>
      </w:hyperlink>
    </w:p>
    <w:p>
      <w:pPr>
        <w:spacing w:after="200"/>
      </w:pPr>
    </w:p>
    <w:p>
      <w:pPr>
        <w:pStyle w:val="Heading2"/>
        <w:spacing w:before="360" w:after="100"/>
      </w:pPr>
      <w:r>
        <w:rPr>
          <w:rFonts w:ascii="Arial" w:cs="Arial" w:eastAsia="Arial" w:hAnsi="Arial"/>
          <w:b/>
          <w:bCs/>
          <w:color w:val="1B3A6B"/>
          <w:sz w:val="28"/>
          <w:szCs w:val="28"/>
        </w:rPr>
        <w:t xml:space="preserve">7.2  NASDAQ Listing Requirements</w:t>
      </w:r>
    </w:p>
    <w:p>
      <w:pPr>
        <w:spacing w:after="140"/>
      </w:pPr>
      <w:r>
        <w:rPr>
          <w:rFonts w:ascii="Arial" w:cs="Arial" w:eastAsia="Arial" w:hAnsi="Arial"/>
          <w:color w:val="111827"/>
          <w:sz w:val="20"/>
          <w:szCs w:val="20"/>
        </w:rPr>
        <w:t xml:space="preserve">NASDAQ operates three tiers — the NASDAQ Global Select Market, NASDAQ Global Market, and NASDAQ Capital Market — each with different financial standards. NASDAQ's listing rules are codified in the NASDAQ Listing Rule 5000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NASDAQ Periodic Filing Notification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Notification to NASDAQ that periodic reports (10-K, 10-Q) have been filed with the SEC.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Concurrent with SEC filing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NASDAQ</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NASDAQ Material Event Notification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Similar to NYSE — companies must notify NASDAQ of material events via press release distributed through approved wire service.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Same day or before market open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NASDAQ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NASDAQ Corporate Governance Certification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certification (via NASDAQ's disclosure portal) confirming compliance with corporate governance listing standards.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NASDAQ</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NASDAQ 5635 Shareholder Approval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Required for share issuances exceeding 20% of outstanding shares, related-party transactions, and equity compensation plans.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Before event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NASDAQ</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Listing Application / Continued Listing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Financial standards compliance monitoring — includes minimum bid price, market cap, stockholders' equity, and board independence requirements.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Continuous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NASDAQ</w:t>
            </w:r>
          </w:p>
        </w:tc>
      </w:tr>
    </w:tbl>
    <w:p>
      <w:pPr>
        <w:spacing w:after="120"/>
      </w:pPr>
    </w:p>
    <w:p>
      <w:r>
        <w:rPr>
          <w:rFonts w:ascii="Arial" w:cs="Arial" w:eastAsia="Arial" w:hAnsi="Arial"/>
          <w:b/>
          <w:bCs/>
          <w:color w:val="1B3A6B"/>
          <w:sz w:val="20"/>
          <w:szCs w:val="20"/>
        </w:rPr>
        <w:t xml:space="preserve">NASDAQ Listing Center:</w:t>
      </w:r>
      <w:r>
        <w:rPr>
          <w:rFonts w:ascii="Arial" w:cs="Arial" w:eastAsia="Arial" w:hAnsi="Arial"/>
          <w:color w:val="111827"/>
          <w:sz w:val="20"/>
          <w:szCs w:val="20"/>
        </w:rPr>
        <w:t xml:space="preserve"> </w:t>
      </w:r>
      <w:hyperlink w:history="1" r:id="rId9jalajhe0d4yf0mvy31il">
        <w:r>
          <w:rPr>
            <w:rFonts w:ascii="Arial" w:cs="Arial" w:eastAsia="Arial" w:hAnsi="Arial"/>
            <w:color w:val="2563EB"/>
            <w:sz w:val="20"/>
            <w:szCs w:val="20"/>
            <w:u w:val="single"/>
          </w:rPr>
          <w:t xml:space="preserve">NASDAQ Listing Center</w:t>
        </w:r>
      </w:hyperlink>
    </w:p>
    <w:p>
      <w:pPr>
        <w:spacing w:after="200"/>
      </w:pPr>
    </w:p>
    <w:p>
      <w:r>
        <w:br w:type="page"/>
      </w:r>
    </w:p>
    <w:p>
      <w:pPr>
        <w:pStyle w:val="Heading1"/>
        <w:spacing w:before="480" w:after="120"/>
      </w:pPr>
      <w:r>
        <w:rPr>
          <w:rFonts w:ascii="Arial" w:cs="Arial" w:eastAsia="Arial" w:hAnsi="Arial"/>
          <w:b/>
          <w:bCs/>
          <w:color w:val="1B3A6B"/>
          <w:sz w:val="36"/>
          <w:szCs w:val="36"/>
        </w:rPr>
        <w:t xml:space="preserve">8. Specialized &amp; Supplemental Filings</w:t>
      </w:r>
    </w:p>
    <w:p>
      <w:pPr>
        <w:pBdr>
          <w:bottom w:val="single" w:color="1B3A6B" w:sz="12" w:space="1"/>
        </w:pBdr>
        <w:spacing w:after="200"/>
      </w:pPr>
    </w:p>
    <w:p>
      <w:pPr>
        <w:pStyle w:val="Heading2"/>
        <w:spacing w:before="360" w:after="100"/>
      </w:pPr>
      <w:r>
        <w:rPr>
          <w:rFonts w:ascii="Arial" w:cs="Arial" w:eastAsia="Arial" w:hAnsi="Arial"/>
          <w:b/>
          <w:bCs/>
          <w:color w:val="1B3A6B"/>
          <w:sz w:val="28"/>
          <w:szCs w:val="28"/>
        </w:rPr>
        <w:t xml:space="preserve">8.1  Investment Company Filings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N-1A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Registration statement for open-end mutual funds (including ETFs). Contains fund prospectus, SAI, and financial statements.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At launch; updated annually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N-2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Registration statement for closed-end funds.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At launch; biennial updates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N-CEN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census report for registered investment companies — fund structure, service providers, financials summary.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(75 days after fiscal year 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N-PORT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Monthly portfolio holdings report for registered funds (&gt;$1B AUM). Holdings data for months 1 and 2 of each quarter are non-public for 60 days.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Monthly (30 days after month end)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N-PX</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Report of Proxy Voting Record — all registered funds must disclose how they voted on every proxy proposal.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(August 31)</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ADV</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Uniform Application for Investment Adviser Registration — filed by registered investment advisers with SEC or state regulators. ADV Part 2 (brochure) is public.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updated within 30 days of material change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 IARD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PF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Private Fund Adviser Report — systemic risk data filed by SEC-registered advisers managing hedge funds, private equity, and liquidity funds.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 Quarterly (large advisers)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200"/>
      </w:pPr>
    </w:p>
    <w:p>
      <w:pPr>
        <w:pStyle w:val="Heading2"/>
        <w:spacing w:before="360" w:after="100"/>
      </w:pPr>
      <w:r>
        <w:rPr>
          <w:rFonts w:ascii="Arial" w:cs="Arial" w:eastAsia="Arial" w:hAnsi="Arial"/>
          <w:b/>
          <w:bCs/>
          <w:color w:val="1B3A6B"/>
          <w:sz w:val="28"/>
          <w:szCs w:val="28"/>
        </w:rPr>
        <w:t xml:space="preserve">8.2  CFTC &amp; Derivatives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Swap Data Report (SDR)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All swap transactions must be reported to a registered Swap Data Repository within 24 hours of execution. Public data aggregated by CFTC.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Within 24 hours of execution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CFTC SDR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CFTC Form 40 / Large Trader Report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Filed by large traders in CFTC-regulated futures markets when crossing reporting thresholds.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As triggered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CFTC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Commodity Pool Operator (CPO) Annual Report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Audited financial statements for commodity pools (hedge funds trading futures).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(90 days after fiscal year 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NFA / CFTC</w:t>
            </w:r>
          </w:p>
        </w:tc>
      </w:tr>
    </w:tbl>
    <w:p>
      <w:pPr>
        <w:spacing w:after="120"/>
      </w:pPr>
    </w:p>
    <w:p>
      <w:r>
        <w:rPr>
          <w:rFonts w:ascii="Arial" w:cs="Arial" w:eastAsia="Arial" w:hAnsi="Arial"/>
          <w:b/>
          <w:bCs/>
          <w:color w:val="1B3A6B"/>
          <w:sz w:val="20"/>
          <w:szCs w:val="20"/>
        </w:rPr>
        <w:t xml:space="preserve">CFTC Data Portal:</w:t>
      </w:r>
      <w:r>
        <w:rPr>
          <w:rFonts w:ascii="Arial" w:cs="Arial" w:eastAsia="Arial" w:hAnsi="Arial"/>
          <w:color w:val="111827"/>
          <w:sz w:val="20"/>
          <w:szCs w:val="20"/>
        </w:rPr>
        <w:t xml:space="preserve"> </w:t>
      </w:r>
      <w:hyperlink w:history="1" r:id="rIdavkjajklp4kxzkbegcz9f">
        <w:r>
          <w:rPr>
            <w:rFonts w:ascii="Arial" w:cs="Arial" w:eastAsia="Arial" w:hAnsi="Arial"/>
            <w:color w:val="2563EB"/>
            <w:sz w:val="20"/>
            <w:szCs w:val="20"/>
            <w:u w:val="single"/>
          </w:rPr>
          <w:t xml:space="preserve">CFTC Market Data Portal</w:t>
        </w:r>
      </w:hyperlink>
    </w:p>
    <w:p>
      <w:pPr>
        <w:spacing w:after="200"/>
      </w:pPr>
    </w:p>
    <w:p>
      <w:pPr>
        <w:pStyle w:val="Heading2"/>
        <w:spacing w:before="360" w:after="100"/>
      </w:pPr>
      <w:r>
        <w:rPr>
          <w:rFonts w:ascii="Arial" w:cs="Arial" w:eastAsia="Arial" w:hAnsi="Arial"/>
          <w:b/>
          <w:bCs/>
          <w:color w:val="1B3A6B"/>
          <w:sz w:val="28"/>
          <w:szCs w:val="28"/>
        </w:rPr>
        <w:t xml:space="preserve">8.3  Regulation A / Regulation D / Regulation Crowdfunding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1-A (Reg 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Offering statement for small companies raising up to $75M per year under Regulation A+ (Tier 2). Public offering with lighter disclosure than full S-1.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Before offering; effective after SEC qualification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1-K (Reg 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report for Reg A+ companies.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(120 days after fiscal year end)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D (Reg 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Notice of Exempt Offering of Securities — filed within 15 days of first sale under Regulation D private placement exemptions (Rules 504, 506(b), 506(c)).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15 days after first sale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Form C (Reg CF)</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Offering statement for investment crowdfunding under Regulation Crowdfunding (max $5M per year). Filed on EDGAR; available to general public.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Before offering</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SEC EDGAR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C-AR (Reg CF)</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report for Reg CF issuers.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(120 days after fiscal year 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SEC EDGAR</w:t>
            </w:r>
          </w:p>
        </w:tc>
      </w:tr>
    </w:tbl>
    <w:p>
      <w:pPr>
        <w:spacing w:after="200"/>
      </w:pPr>
    </w:p>
    <w:p>
      <w:pPr>
        <w:pStyle w:val="Heading2"/>
        <w:spacing w:before="360" w:after="100"/>
      </w:pPr>
      <w:r>
        <w:rPr>
          <w:rFonts w:ascii="Arial" w:cs="Arial" w:eastAsia="Arial" w:hAnsi="Arial"/>
          <w:b/>
          <w:bCs/>
          <w:color w:val="1B3A6B"/>
          <w:sz w:val="28"/>
          <w:szCs w:val="28"/>
        </w:rPr>
        <w:t xml:space="preserve">8.4  Foreign Asset &amp; FBAR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Form / Document</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Frequency / Deadline</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Filed With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FinCEN Form 114 (FBAR)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Report of Foreign Bank and Financial Accounts — required for U.S. persons with &gt;$10,000 aggregate in foreign financial accounts at any point during the year.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Annual (April 15; auto-extension to October 15)</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FinCEN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IRS Form 8938 (FATCA)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Statement of Specified Foreign Financial Assets — required for U.S. persons meeting higher thresholds under FATCA.</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Annual (with tax return)</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IRS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Treasury International Capital (TIC)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Monthly reports on cross-border securities transactions filed by banks, brokers, and institutional investors with the U.S. Treasury.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Monthly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U.S. Treasury</w:t>
            </w:r>
          </w:p>
        </w:tc>
      </w:tr>
    </w:tbl>
    <w:p>
      <w:pPr>
        <w:spacing w:after="200"/>
      </w:pPr>
    </w:p>
    <w:p>
      <w:r>
        <w:br w:type="page"/>
      </w:r>
    </w:p>
    <w:p>
      <w:pPr>
        <w:pStyle w:val="Heading1"/>
        <w:spacing w:before="480" w:after="120"/>
      </w:pPr>
      <w:r>
        <w:rPr>
          <w:rFonts w:ascii="Arial" w:cs="Arial" w:eastAsia="Arial" w:hAnsi="Arial"/>
          <w:b/>
          <w:bCs/>
          <w:color w:val="1B3A6B"/>
          <w:sz w:val="36"/>
          <w:szCs w:val="36"/>
        </w:rPr>
        <w:t xml:space="preserve">9. How to Access Public Filings — Key Databases &amp; Links</w:t>
      </w:r>
    </w:p>
    <w:p>
      <w:pPr>
        <w:pBdr>
          <w:bottom w:val="single" w:color="1B3A6B" w:sz="12" w:space="1"/>
        </w:pBdr>
        <w:spacing w:after="200"/>
      </w:pPr>
    </w:p>
    <w:p>
      <w:pPr>
        <w:spacing w:after="140"/>
      </w:pPr>
      <w:r>
        <w:rPr>
          <w:rFonts w:ascii="Arial" w:cs="Arial" w:eastAsia="Arial" w:hAnsi="Arial"/>
          <w:color w:val="111827"/>
          <w:sz w:val="20"/>
          <w:szCs w:val="20"/>
        </w:rPr>
        <w:t xml:space="preserve">All SEC filings and a significant portion of banking regulatory reports are publicly accessible at no cost through official government databases. The following is a curated list of primary access points:</w:t>
      </w:r>
    </w:p>
    <w:p>
      <w:pPr>
        <w:pStyle w:val="Heading2"/>
        <w:spacing w:before="360" w:after="100"/>
      </w:pPr>
      <w:r>
        <w:rPr>
          <w:rFonts w:ascii="Arial" w:cs="Arial" w:eastAsia="Arial" w:hAnsi="Arial"/>
          <w:b/>
          <w:bCs/>
          <w:color w:val="1B3A6B"/>
          <w:sz w:val="28"/>
          <w:szCs w:val="28"/>
        </w:rPr>
        <w:t xml:space="preserve">9.1  SEC EDGAR</w:t>
      </w:r>
    </w:p>
    <w:p>
      <w:pPr>
        <w:spacing w:after="140"/>
      </w:pPr>
      <w:r>
        <w:rPr>
          <w:rFonts w:ascii="Arial" w:cs="Arial" w:eastAsia="Arial" w:hAnsi="Arial"/>
          <w:color w:val="111827"/>
          <w:sz w:val="20"/>
          <w:szCs w:val="20"/>
        </w:rPr>
        <w:t xml:space="preserve">EDGAR (Electronic Data Gathering, Analysis, and Retrieval) is the primary repository for all SEC filings. It is searchable by company name, CIK number, form type, date range, and full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Full Text Search</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i2tjomnp24sq1dsrx2lkm">
              <w:r>
                <w:rPr>
                  <w:rFonts w:ascii="Arial" w:cs="Arial" w:eastAsia="Arial" w:hAnsi="Arial"/>
                  <w:color w:val="2563EB"/>
                  <w:sz w:val="20"/>
                  <w:szCs w:val="20"/>
                  <w:u w:val="single"/>
                </w:rPr>
                <w:t xml:space="preserve">https://efts.sec.gov/LATEST/search-index</w:t>
              </w:r>
            </w:hyperlink>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Company Search</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snn69pfbypfn_ohlz_rr9">
              <w:r>
                <w:rPr>
                  <w:rFonts w:ascii="Arial" w:cs="Arial" w:eastAsia="Arial" w:hAnsi="Arial"/>
                  <w:color w:val="2563EB"/>
                  <w:sz w:val="20"/>
                  <w:szCs w:val="20"/>
                  <w:u w:val="single"/>
                </w:rPr>
                <w:t xml:space="preserve">https://www.sec.gov/cgi-bin/browse-edgar?action=getcompany</w:t>
              </w:r>
            </w:hyperlink>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EDGAR API (JSON)</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ugnhh9e_saxuopmmtotcq">
              <w:r>
                <w:rPr>
                  <w:rFonts w:ascii="Arial" w:cs="Arial" w:eastAsia="Arial" w:hAnsi="Arial"/>
                  <w:color w:val="2563EB"/>
                  <w:sz w:val="20"/>
                  <w:szCs w:val="20"/>
                  <w:u w:val="single"/>
                </w:rPr>
                <w:t xml:space="preserve">https://data.sec.gov/submissions/CIK{10-digit}.json</w:t>
              </w:r>
            </w:hyperlink>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EDGAR XBRL Viewer</w:t>
            </w:r>
          </w:p>
        </w:tc>
        <w:tc>
          <w:tcPr>
            <w:tcW w:type="dxa" w:w="5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l7bu2pzwcnefo5aeoeh0k">
              <w:r>
                <w:rPr>
                  <w:rFonts w:ascii="Arial" w:cs="Arial" w:eastAsia="Arial" w:hAnsi="Arial"/>
                  <w:color w:val="2563EB"/>
                  <w:sz w:val="20"/>
                  <w:szCs w:val="20"/>
                  <w:u w:val="single"/>
                </w:rPr>
                <w:t xml:space="preserve">https://viewer.fasb.org/</w:t>
              </w:r>
            </w:hyperlink>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Recent Filings RSS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jyxvacf2y7s1x0fumeyhd">
              <w:r>
                <w:rPr>
                  <w:rFonts w:ascii="Arial" w:cs="Arial" w:eastAsia="Arial" w:hAnsi="Arial"/>
                  <w:color w:val="2563EB"/>
                  <w:sz w:val="20"/>
                  <w:szCs w:val="20"/>
                  <w:u w:val="single"/>
                </w:rPr>
                <w:t xml:space="preserve">https://www.sec.gov/cgi-bin/browse-edgar?action=getcurrent</w:t>
              </w:r>
            </w:hyperlink>
          </w:p>
        </w:tc>
      </w:tr>
    </w:tbl>
    <w:p>
      <w:pPr>
        <w:spacing w:after="200"/>
      </w:pPr>
    </w:p>
    <w:p>
      <w:pPr>
        <w:pStyle w:val="Heading2"/>
        <w:spacing w:before="360" w:after="100"/>
      </w:pPr>
      <w:r>
        <w:rPr>
          <w:rFonts w:ascii="Arial" w:cs="Arial" w:eastAsia="Arial" w:hAnsi="Arial"/>
          <w:b/>
          <w:bCs/>
          <w:color w:val="1B3A6B"/>
          <w:sz w:val="28"/>
          <w:szCs w:val="28"/>
        </w:rPr>
        <w:t xml:space="preserve">9.2  Banking Regulatory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Federal Reserve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BHC Performance Reports / FR Y data</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ixuhhkvfzz76bjz1ef0is">
              <w:r>
                <w:rPr>
                  <w:rFonts w:ascii="Arial" w:cs="Arial" w:eastAsia="Arial" w:hAnsi="Arial"/>
                  <w:color w:val="2563EB"/>
                  <w:sz w:val="20"/>
                  <w:szCs w:val="20"/>
                  <w:u w:val="single"/>
                </w:rPr>
                <w:t xml:space="preserve">https://www.federalreserve.gov/releases/lbr/</w:t>
              </w:r>
            </w:hyperlink>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FDIC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BankFind Suite / Call Report Data</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k5tefo4ns05qxhl_hqfdm">
              <w:r>
                <w:rPr>
                  <w:rFonts w:ascii="Arial" w:cs="Arial" w:eastAsia="Arial" w:hAnsi="Arial"/>
                  <w:color w:val="2563EB"/>
                  <w:sz w:val="20"/>
                  <w:szCs w:val="20"/>
                  <w:u w:val="single"/>
                </w:rPr>
                <w:t xml:space="preserve">https://banks.data.fdic.gov/</w:t>
              </w:r>
            </w:hyperlink>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FFIEC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Central Data Repository (CDR)</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or2hph3rrmjyslzmnwdgh">
              <w:r>
                <w:rPr>
                  <w:rFonts w:ascii="Arial" w:cs="Arial" w:eastAsia="Arial" w:hAnsi="Arial"/>
                  <w:color w:val="2563EB"/>
                  <w:sz w:val="20"/>
                  <w:szCs w:val="20"/>
                  <w:u w:val="single"/>
                </w:rPr>
                <w:t xml:space="preserve">https://cdr.ffiec.gov/public/</w:t>
              </w:r>
            </w:hyperlink>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OCC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Bank Financial Data</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llpuicv3p9xdvukf2m8l-">
              <w:r>
                <w:rPr>
                  <w:rFonts w:ascii="Arial" w:cs="Arial" w:eastAsia="Arial" w:hAnsi="Arial"/>
                  <w:color w:val="2563EB"/>
                  <w:sz w:val="20"/>
                  <w:szCs w:val="20"/>
                  <w:u w:val="single"/>
                </w:rPr>
                <w:t xml:space="preserve">https://www.occ.gov/publications-and-resources/publications/quarterly-report-on-bank-trading-and-derivatives-activities/index-quarterly-report-bank-trading-derivatives.html</w:t>
              </w:r>
            </w:hyperlink>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CFPB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HMDA Explorer</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bm64-ygk0yempvpjaalkc">
              <w:r>
                <w:rPr>
                  <w:rFonts w:ascii="Arial" w:cs="Arial" w:eastAsia="Arial" w:hAnsi="Arial"/>
                  <w:color w:val="2563EB"/>
                  <w:sz w:val="20"/>
                  <w:szCs w:val="20"/>
                  <w:u w:val="single"/>
                </w:rPr>
                <w:t xml:space="preserve">https://ffiec.cfpb.gov/data-browser/</w:t>
              </w:r>
            </w:hyperlink>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FinCEN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BSA Data &amp; SAR Stats</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xs7kdre8x-_mraa6ys1ap">
              <w:r>
                <w:rPr>
                  <w:rFonts w:ascii="Arial" w:cs="Arial" w:eastAsia="Arial" w:hAnsi="Arial"/>
                  <w:color w:val="2563EB"/>
                  <w:sz w:val="20"/>
                  <w:szCs w:val="20"/>
                  <w:u w:val="single"/>
                </w:rPr>
                <w:t xml:space="preserve">https://www.fincen.gov/reports/sar-stats</w:t>
              </w:r>
            </w:hyperlink>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CFTC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Market Data Portal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hyperlink w:history="1" r:id="rIdvbkv5535so6f6fowiqtwu">
              <w:r>
                <w:rPr>
                  <w:rFonts w:ascii="Arial" w:cs="Arial" w:eastAsia="Arial" w:hAnsi="Arial"/>
                  <w:color w:val="2563EB"/>
                  <w:sz w:val="20"/>
                  <w:szCs w:val="20"/>
                  <w:u w:val="single"/>
                </w:rPr>
                <w:t xml:space="preserve">https://www.cftc.gov/MarketReports/index.htm</w:t>
              </w:r>
            </w:hyperlink>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18"/>
                <w:szCs w:val="18"/>
              </w:rPr>
              <w:t xml:space="preserve">Treasury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11827"/>
                <w:sz w:val="18"/>
                <w:szCs w:val="18"/>
              </w:rPr>
              <w:t xml:space="preserve">TIC Data</w:t>
            </w:r>
          </w:p>
        </w:tc>
        <w:tc>
          <w:tcPr>
            <w:tcW w:type="dxa" w:w="4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hyperlink w:history="1" r:id="rIdd2skj-wii9atgjovqa2rl">
              <w:r>
                <w:rPr>
                  <w:rFonts w:ascii="Arial" w:cs="Arial" w:eastAsia="Arial" w:hAnsi="Arial"/>
                  <w:color w:val="2563EB"/>
                  <w:sz w:val="20"/>
                  <w:szCs w:val="20"/>
                  <w:u w:val="single"/>
                </w:rPr>
                <w:t xml:space="preserve">https://ticdata.treasury.gov/</w:t>
              </w:r>
            </w:hyperlink>
          </w:p>
        </w:tc>
      </w:tr>
    </w:tbl>
    <w:p>
      <w:pPr>
        <w:spacing w:after="200"/>
      </w:pPr>
    </w:p>
    <w:p>
      <w:r>
        <w:br w:type="page"/>
      </w:r>
    </w:p>
    <w:p>
      <w:pPr>
        <w:pStyle w:val="Heading1"/>
        <w:spacing w:before="480" w:after="120"/>
      </w:pPr>
      <w:r>
        <w:rPr>
          <w:rFonts w:ascii="Arial" w:cs="Arial" w:eastAsia="Arial" w:hAnsi="Arial"/>
          <w:b/>
          <w:bCs/>
          <w:color w:val="1B3A6B"/>
          <w:sz w:val="36"/>
          <w:szCs w:val="36"/>
        </w:rPr>
        <w:t xml:space="preserve">10. Quick-Reference Summary Table</w:t>
      </w:r>
    </w:p>
    <w:p>
      <w:pPr>
        <w:pBdr>
          <w:bottom w:val="single" w:color="1B3A6B" w:sz="12" w:space="1"/>
        </w:pBdr>
        <w:spacing w:after="200"/>
      </w:pPr>
    </w:p>
    <w:p>
      <w:pPr>
        <w:spacing w:after="140"/>
      </w:pPr>
      <w:r>
        <w:rPr>
          <w:rFonts w:ascii="Arial" w:cs="Arial" w:eastAsia="Arial" w:hAnsi="Arial"/>
          <w:color w:val="111827"/>
          <w:sz w:val="20"/>
          <w:szCs w:val="20"/>
        </w:rPr>
        <w:t xml:space="preserve">The following table provides a consolidated reference for the most commonly filed documents by publicly listed companies and financial institutions in the United States: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1600"/>
        <w:gridCol w:w="156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Form</w:t>
            </w:r>
          </w:p>
        </w:tc>
        <w:tc>
          <w:tcPr>
            <w:tcW w:type="dxa" w:w="28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Purpose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Frequency</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Filed With</w:t>
            </w:r>
          </w:p>
        </w:tc>
        <w:tc>
          <w:tcPr>
            <w:tcW w:type="dxa" w:w="15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Mandatory?</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10-K</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 Report (domestic)</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10-Q</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 Report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 (Q1-Q3)</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8-K</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Material Event Disclosure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Event-driven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DEF 14A</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Proxy Statement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Form 4</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Insider Transaction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Within 2 bus. days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(insiders)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Schedule 13D</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5%+ Activist Ownership</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Within 10 days</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(&gt;5%)</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Schedule 13G</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5%+ Passive Ownership</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(&gt;5%)</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Schedule 13F</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Institutional Holdings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(&gt;$100M)</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S-1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IPO Registration</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At IPO</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(issuers)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S-3</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Shelf Registration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Before offering</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(seasoned)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20-F</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 Report (FPI)</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(FPIs)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FFIEC 031/041</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Bank Call Report (large)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FFIEC / FDIC</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(banks)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FFIEC 051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Call Report (community)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FFIEC / FDIC</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(comm. banks)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FR Y-9C</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BHC Financial Statements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Federal Reserve</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(BHCs &gt;$3B)</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FR Y-14A</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CCAR/DFAST Stress Test Data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Federal Reserve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(&gt;$100B)</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DFAST Results</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Stress Test Public Results</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Fed/OCC/FDIC</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(&gt;$100B)</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Pillar 3 Disclosure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Basel III Capital Disclosure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Fed/OCC</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(Advanced)</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LCR Disclosure</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Liquidity Coverage Ratio</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Quarterly</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Fed/OCC</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(large banks)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HMDA LAR</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Mortgage Application Data</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CFPB/FFIEC</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(mortgage lenders)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Form ADV</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Investment Adviser Registration</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SEC/IARD</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(advisers)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Form PF</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Private Fund Systemic Risk</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Annual/Quarterly</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(large advisers)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Form D</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Private Placement Notice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15 days post-sale</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SEC EDGAR</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(Reg 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FinCEN SAR</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Suspicious Activity Report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Event-driven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FinCEN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(all FIs)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bCs/>
                <w:color w:val="1B3A6B"/>
                <w:sz w:val="16"/>
                <w:szCs w:val="16"/>
              </w:rPr>
              <w:t xml:space="preserve">FinCEN CTR</w:t>
            </w:r>
          </w:p>
        </w:tc>
        <w:tc>
          <w:tcPr>
            <w:tcW w:type="dxa" w:w="2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Currency Transaction Report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Event-driven (&gt;$10K)</w:t>
            </w:r>
          </w:p>
        </w:tc>
        <w:tc>
          <w:tcPr>
            <w:tcW w:type="dxa" w:w="160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FinCEN</w:t>
            </w:r>
          </w:p>
        </w:tc>
        <w:tc>
          <w:tcPr>
            <w:tcW w:type="dxa" w:w="1560"/>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(all FIs)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bCs/>
                <w:color w:val="1B3A6B"/>
                <w:sz w:val="16"/>
                <w:szCs w:val="16"/>
              </w:rPr>
              <w:t xml:space="preserve">FBAR (114)</w:t>
            </w:r>
          </w:p>
        </w:tc>
        <w:tc>
          <w:tcPr>
            <w:tcW w:type="dxa" w:w="2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Foreign Account Disclosure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Annual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FinCEN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r>
              <w:rPr>
                <w:rFonts w:ascii="Arial" w:cs="Arial" w:eastAsia="Arial" w:hAnsi="Arial"/>
                <w:b w:val="false"/>
                <w:bCs w:val="false"/>
                <w:color w:val="111827"/>
                <w:sz w:val="16"/>
                <w:szCs w:val="16"/>
              </w:rPr>
              <w:t xml:space="preserve">Yes (qualifying)</w:t>
            </w:r>
          </w:p>
        </w:tc>
      </w:tr>
    </w:tbl>
    <w:p>
      <w:pPr>
        <w:spacing w:after="200"/>
      </w:pPr>
    </w:p>
    <w:p>
      <w:r>
        <w:br w:type="page"/>
      </w:r>
    </w:p>
    <w:p>
      <w:pPr>
        <w:pStyle w:val="Heading1"/>
        <w:spacing w:before="480" w:after="120"/>
      </w:pPr>
      <w:r>
        <w:rPr>
          <w:rFonts w:ascii="Arial" w:cs="Arial" w:eastAsia="Arial" w:hAnsi="Arial"/>
          <w:b/>
          <w:bCs/>
          <w:color w:val="1B3A6B"/>
          <w:sz w:val="36"/>
          <w:szCs w:val="36"/>
        </w:rPr>
        <w:t xml:space="preserve">11. Disclaimer &amp; References</w:t>
      </w:r>
    </w:p>
    <w:p>
      <w:pPr>
        <w:pBdr>
          <w:bottom w:val="single" w:color="1B3A6B" w:sz="12"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2"/>
              <w:left w:val="single" w:color="0EA5E9" w:sz="12"/>
              <w:bottom w:val="single" w:color="CBD5E1" w:sz="1"/>
              <w:right w:val="single" w:color="CBD5E1" w:sz="1"/>
            </w:tcBorders>
            <w:shd w:fill="EFF6FF" w:val="clear"/>
            <w:tcMar>
              <w:top w:type="dxa" w:w="120"/>
              <w:left w:type="dxa" w:w="200"/>
              <w:bottom w:type="dxa" w:w="120"/>
              <w:right w:type="dxa" w:w="120"/>
            </w:tcMar>
          </w:tcPr>
          <w:p>
            <w:pPr>
              <w:spacing w:after="60"/>
            </w:pPr>
            <w:r>
              <w:rPr>
                <w:rFonts w:ascii="Arial" w:cs="Arial" w:eastAsia="Arial" w:hAnsi="Arial"/>
                <w:b/>
                <w:bCs/>
                <w:color w:val="1B3A6B"/>
                <w:sz w:val="20"/>
                <w:szCs w:val="20"/>
              </w:rPr>
              <w:t xml:space="preserve">Legal Disclaimer</w:t>
            </w:r>
          </w:p>
          <w:p>
            <w:pPr>
              <w:spacing w:after="40"/>
            </w:pPr>
            <w:r>
              <w:rPr>
                <w:rFonts w:ascii="Arial" w:cs="Arial" w:eastAsia="Arial" w:hAnsi="Arial"/>
                <w:color w:val="111827"/>
                <w:sz w:val="18"/>
                <w:szCs w:val="18"/>
              </w:rPr>
              <w:t xml:space="preserve">This research report is provided for informational and educational purposes only. It does not constitute legal, financial, regulatory, or investment advice. Filing requirements, deadlines, and thresholds change periodically as a result of SEC rulemaking, congressional legislation, and regulatory guidance. Always consult the primary sources listed below and seek qualified legal or regulatory counsel before relying on any information in this report.</w:t>
            </w:r>
          </w:p>
          <w:p>
            <w:pPr>
              <w:spacing w:after="40"/>
            </w:pPr>
            <w:r>
              <w:rPr>
                <w:rFonts w:ascii="Arial" w:cs="Arial" w:eastAsia="Arial" w:hAnsi="Arial"/>
                <w:color w:val="111827"/>
                <w:sz w:val="18"/>
                <w:szCs w:val="18"/>
              </w:rPr>
              <w:t xml:space="preserve"/>
            </w:r>
          </w:p>
          <w:p>
            <w:pPr>
              <w:spacing w:after="40"/>
            </w:pPr>
            <w:r>
              <w:rPr>
                <w:rFonts w:ascii="Arial" w:cs="Arial" w:eastAsia="Arial" w:hAnsi="Arial"/>
                <w:color w:val="111827"/>
                <w:sz w:val="18"/>
                <w:szCs w:val="18"/>
              </w:rPr>
              <w:t xml:space="preserve">Information is current as of February 2025 to the best of the authors' knowledge.</w:t>
            </w:r>
          </w:p>
        </w:tc>
      </w:tr>
    </w:tbl>
    <w:p>
      <w:pPr>
        <w:spacing w:after="120"/>
      </w:pPr>
    </w:p>
    <w:p>
      <w:pPr>
        <w:pStyle w:val="Heading2"/>
        <w:spacing w:before="360" w:after="100"/>
      </w:pPr>
      <w:r>
        <w:rPr>
          <w:rFonts w:ascii="Arial" w:cs="Arial" w:eastAsia="Arial" w:hAnsi="Arial"/>
          <w:b/>
          <w:bCs/>
          <w:color w:val="1B3A6B"/>
          <w:sz w:val="28"/>
          <w:szCs w:val="28"/>
        </w:rPr>
        <w:t xml:space="preserve">Primary Sources &amp; References</w:t>
      </w:r>
    </w:p>
    <w:p>
      <w:pPr>
        <w:pStyle w:val="ListParagraph"/>
        <w:numPr>
          <w:ilvl w:val="0"/>
          <w:numId w:val="2"/>
        </w:numPr>
        <w:spacing w:after="80"/>
      </w:pPr>
      <w:r>
        <w:rPr>
          <w:rFonts w:ascii="Arial" w:cs="Arial" w:eastAsia="Arial" w:hAnsi="Arial"/>
          <w:b w:val="false"/>
          <w:bCs w:val="false"/>
          <w:color w:val="111827"/>
          <w:sz w:val="20"/>
          <w:szCs w:val="20"/>
        </w:rPr>
        <w:t xml:space="preserve">U.S. Securities and Exchange Commission — www.sec.gov</w:t>
      </w:r>
    </w:p>
    <w:p>
      <w:pPr>
        <w:pStyle w:val="ListParagraph"/>
        <w:numPr>
          <w:ilvl w:val="0"/>
          <w:numId w:val="2"/>
        </w:numPr>
        <w:spacing w:after="80"/>
      </w:pPr>
      <w:r>
        <w:rPr>
          <w:rFonts w:ascii="Arial" w:cs="Arial" w:eastAsia="Arial" w:hAnsi="Arial"/>
          <w:b w:val="false"/>
          <w:bCs w:val="false"/>
          <w:color w:val="111827"/>
          <w:sz w:val="20"/>
          <w:szCs w:val="20"/>
        </w:rPr>
        <w:t xml:space="preserve">SEC EDGAR Full-Text Search — efts.sec.gov</w:t>
      </w:r>
    </w:p>
    <w:p>
      <w:pPr>
        <w:pStyle w:val="ListParagraph"/>
        <w:numPr>
          <w:ilvl w:val="0"/>
          <w:numId w:val="2"/>
        </w:numPr>
        <w:spacing w:after="80"/>
      </w:pPr>
      <w:r>
        <w:rPr>
          <w:rFonts w:ascii="Arial" w:cs="Arial" w:eastAsia="Arial" w:hAnsi="Arial"/>
          <w:b w:val="false"/>
          <w:bCs w:val="false"/>
          <w:color w:val="111827"/>
          <w:sz w:val="20"/>
          <w:szCs w:val="20"/>
        </w:rPr>
        <w:t xml:space="preserve">SEC Forms Index — www.sec.gov/forms</w:t>
      </w:r>
    </w:p>
    <w:p>
      <w:pPr>
        <w:pStyle w:val="ListParagraph"/>
        <w:numPr>
          <w:ilvl w:val="0"/>
          <w:numId w:val="2"/>
        </w:numPr>
        <w:spacing w:after="80"/>
      </w:pPr>
      <w:r>
        <w:rPr>
          <w:rFonts w:ascii="Arial" w:cs="Arial" w:eastAsia="Arial" w:hAnsi="Arial"/>
          <w:b w:val="false"/>
          <w:bCs w:val="false"/>
          <w:color w:val="111827"/>
          <w:sz w:val="20"/>
          <w:szCs w:val="20"/>
        </w:rPr>
        <w:t xml:space="preserve">Federal Reserve — www.federalreserve.gov</w:t>
      </w:r>
    </w:p>
    <w:p>
      <w:pPr>
        <w:pStyle w:val="ListParagraph"/>
        <w:numPr>
          <w:ilvl w:val="0"/>
          <w:numId w:val="2"/>
        </w:numPr>
        <w:spacing w:after="80"/>
      </w:pPr>
      <w:r>
        <w:rPr>
          <w:rFonts w:ascii="Arial" w:cs="Arial" w:eastAsia="Arial" w:hAnsi="Arial"/>
          <w:b w:val="false"/>
          <w:bCs w:val="false"/>
          <w:color w:val="111827"/>
          <w:sz w:val="20"/>
          <w:szCs w:val="20"/>
        </w:rPr>
        <w:t xml:space="preserve">FDIC BankFind — banks.data.fdic.gov</w:t>
      </w:r>
    </w:p>
    <w:p>
      <w:pPr>
        <w:pStyle w:val="ListParagraph"/>
        <w:numPr>
          <w:ilvl w:val="0"/>
          <w:numId w:val="2"/>
        </w:numPr>
        <w:spacing w:after="80"/>
      </w:pPr>
      <w:r>
        <w:rPr>
          <w:rFonts w:ascii="Arial" w:cs="Arial" w:eastAsia="Arial" w:hAnsi="Arial"/>
          <w:b w:val="false"/>
          <w:bCs w:val="false"/>
          <w:color w:val="111827"/>
          <w:sz w:val="20"/>
          <w:szCs w:val="20"/>
        </w:rPr>
        <w:t xml:space="preserve">FFIEC Central Data Repository — cdr.ffiec.gov</w:t>
      </w:r>
    </w:p>
    <w:p>
      <w:pPr>
        <w:pStyle w:val="ListParagraph"/>
        <w:numPr>
          <w:ilvl w:val="0"/>
          <w:numId w:val="2"/>
        </w:numPr>
        <w:spacing w:after="80"/>
      </w:pPr>
      <w:r>
        <w:rPr>
          <w:rFonts w:ascii="Arial" w:cs="Arial" w:eastAsia="Arial" w:hAnsi="Arial"/>
          <w:b w:val="false"/>
          <w:bCs w:val="false"/>
          <w:color w:val="111827"/>
          <w:sz w:val="20"/>
          <w:szCs w:val="20"/>
        </w:rPr>
        <w:t xml:space="preserve">OCC Publications — www.occ.gov</w:t>
      </w:r>
    </w:p>
    <w:p>
      <w:pPr>
        <w:pStyle w:val="ListParagraph"/>
        <w:numPr>
          <w:ilvl w:val="0"/>
          <w:numId w:val="2"/>
        </w:numPr>
        <w:spacing w:after="80"/>
      </w:pPr>
      <w:r>
        <w:rPr>
          <w:rFonts w:ascii="Arial" w:cs="Arial" w:eastAsia="Arial" w:hAnsi="Arial"/>
          <w:b w:val="false"/>
          <w:bCs w:val="false"/>
          <w:color w:val="111827"/>
          <w:sz w:val="20"/>
          <w:szCs w:val="20"/>
        </w:rPr>
        <w:t xml:space="preserve">CFPB Data &amp; Research — www.consumerfinance.gov</w:t>
      </w:r>
    </w:p>
    <w:p>
      <w:pPr>
        <w:pStyle w:val="ListParagraph"/>
        <w:numPr>
          <w:ilvl w:val="0"/>
          <w:numId w:val="2"/>
        </w:numPr>
        <w:spacing w:after="80"/>
      </w:pPr>
      <w:r>
        <w:rPr>
          <w:rFonts w:ascii="Arial" w:cs="Arial" w:eastAsia="Arial" w:hAnsi="Arial"/>
          <w:b w:val="false"/>
          <w:bCs w:val="false"/>
          <w:color w:val="111827"/>
          <w:sz w:val="20"/>
          <w:szCs w:val="20"/>
        </w:rPr>
        <w:t xml:space="preserve">FinCEN — www.fincen.gov</w:t>
      </w:r>
    </w:p>
    <w:p>
      <w:pPr>
        <w:pStyle w:val="ListParagraph"/>
        <w:numPr>
          <w:ilvl w:val="0"/>
          <w:numId w:val="2"/>
        </w:numPr>
        <w:spacing w:after="80"/>
      </w:pPr>
      <w:r>
        <w:rPr>
          <w:rFonts w:ascii="Arial" w:cs="Arial" w:eastAsia="Arial" w:hAnsi="Arial"/>
          <w:b w:val="false"/>
          <w:bCs w:val="false"/>
          <w:color w:val="111827"/>
          <w:sz w:val="20"/>
          <w:szCs w:val="20"/>
        </w:rPr>
        <w:t xml:space="preserve">CFTC Market Data — www.cftc.gov</w:t>
      </w:r>
    </w:p>
    <w:p>
      <w:pPr>
        <w:pStyle w:val="ListParagraph"/>
        <w:numPr>
          <w:ilvl w:val="0"/>
          <w:numId w:val="2"/>
        </w:numPr>
        <w:spacing w:after="80"/>
      </w:pPr>
      <w:r>
        <w:rPr>
          <w:rFonts w:ascii="Arial" w:cs="Arial" w:eastAsia="Arial" w:hAnsi="Arial"/>
          <w:b w:val="false"/>
          <w:bCs w:val="false"/>
          <w:color w:val="111827"/>
          <w:sz w:val="20"/>
          <w:szCs w:val="20"/>
        </w:rPr>
        <w:t xml:space="preserve">NYSE Listed Company Manual — nyseguide.sasco.com</w:t>
      </w:r>
    </w:p>
    <w:p>
      <w:pPr>
        <w:pStyle w:val="ListParagraph"/>
        <w:numPr>
          <w:ilvl w:val="0"/>
          <w:numId w:val="2"/>
        </w:numPr>
        <w:spacing w:after="80"/>
      </w:pPr>
      <w:r>
        <w:rPr>
          <w:rFonts w:ascii="Arial" w:cs="Arial" w:eastAsia="Arial" w:hAnsi="Arial"/>
          <w:b w:val="false"/>
          <w:bCs w:val="false"/>
          <w:color w:val="111827"/>
          <w:sz w:val="20"/>
          <w:szCs w:val="20"/>
        </w:rPr>
        <w:t xml:space="preserve">NASDAQ Listing Rules — listingcenter.nasdaq.com</w:t>
      </w:r>
    </w:p>
    <w:p>
      <w:pPr>
        <w:pStyle w:val="ListParagraph"/>
        <w:numPr>
          <w:ilvl w:val="0"/>
          <w:numId w:val="2"/>
        </w:numPr>
        <w:spacing w:after="80"/>
      </w:pPr>
      <w:r>
        <w:rPr>
          <w:rFonts w:ascii="Arial" w:cs="Arial" w:eastAsia="Arial" w:hAnsi="Arial"/>
          <w:b w:val="false"/>
          <w:bCs w:val="false"/>
          <w:color w:val="111827"/>
          <w:sz w:val="20"/>
          <w:szCs w:val="20"/>
        </w:rPr>
        <w:t xml:space="preserve">Securities Exchange Act of 1934 — 15 U.S.C. §78a et seq.</w:t>
      </w:r>
    </w:p>
    <w:p>
      <w:pPr>
        <w:pStyle w:val="ListParagraph"/>
        <w:numPr>
          <w:ilvl w:val="0"/>
          <w:numId w:val="2"/>
        </w:numPr>
        <w:spacing w:after="80"/>
      </w:pPr>
      <w:r>
        <w:rPr>
          <w:rFonts w:ascii="Arial" w:cs="Arial" w:eastAsia="Arial" w:hAnsi="Arial"/>
          <w:b w:val="false"/>
          <w:bCs w:val="false"/>
          <w:color w:val="111827"/>
          <w:sz w:val="20"/>
          <w:szCs w:val="20"/>
        </w:rPr>
        <w:t xml:space="preserve">Securities Act of 1933 — 15 U.S.C. §77a et seq.</w:t>
      </w:r>
    </w:p>
    <w:p>
      <w:pPr>
        <w:pStyle w:val="ListParagraph"/>
        <w:numPr>
          <w:ilvl w:val="0"/>
          <w:numId w:val="2"/>
        </w:numPr>
        <w:spacing w:after="80"/>
      </w:pPr>
      <w:r>
        <w:rPr>
          <w:rFonts w:ascii="Arial" w:cs="Arial" w:eastAsia="Arial" w:hAnsi="Arial"/>
          <w:b w:val="false"/>
          <w:bCs w:val="false"/>
          <w:color w:val="111827"/>
          <w:sz w:val="20"/>
          <w:szCs w:val="20"/>
        </w:rPr>
        <w:t xml:space="preserve">Dodd-Frank Wall Street Reform and Consumer Protection Act (2010) — Pub. L. 111-203</w:t>
      </w:r>
    </w:p>
    <w:p>
      <w:pPr>
        <w:pStyle w:val="ListParagraph"/>
        <w:numPr>
          <w:ilvl w:val="0"/>
          <w:numId w:val="2"/>
        </w:numPr>
        <w:spacing w:after="80"/>
      </w:pPr>
      <w:r>
        <w:rPr>
          <w:rFonts w:ascii="Arial" w:cs="Arial" w:eastAsia="Arial" w:hAnsi="Arial"/>
          <w:b w:val="false"/>
          <w:bCs w:val="false"/>
          <w:color w:val="111827"/>
          <w:sz w:val="20"/>
          <w:szCs w:val="20"/>
        </w:rPr>
        <w:t xml:space="preserve">Basel III Capital Framework — Bank for International Settlements (BIS)</w:t>
      </w:r>
    </w:p>
    <w:p>
      <w:pPr>
        <w:pStyle w:val="ListParagraph"/>
        <w:numPr>
          <w:ilvl w:val="0"/>
          <w:numId w:val="2"/>
        </w:numPr>
        <w:spacing w:after="80"/>
      </w:pPr>
      <w:r>
        <w:rPr>
          <w:rFonts w:ascii="Arial" w:cs="Arial" w:eastAsia="Arial" w:hAnsi="Arial"/>
          <w:b w:val="false"/>
          <w:bCs w:val="false"/>
          <w:color w:val="111827"/>
          <w:sz w:val="20"/>
          <w:szCs w:val="20"/>
        </w:rPr>
        <w:t xml:space="preserve">FFIEC Call Report Instruction Books — www.ffiec.gov/npw/FinancialReport/ReturnFinancialReport</w:t>
      </w:r>
    </w:p>
    <w:p>
      <w:pPr>
        <w:spacing w:after="400"/>
      </w:pPr>
    </w:p>
    <w:p>
      <w:pPr>
        <w:jc w:val="center"/>
      </w:pPr>
      <w:r>
        <w:rPr>
          <w:rFonts w:ascii="Arial" w:cs="Arial" w:eastAsia="Arial" w:hAnsi="Arial"/>
          <w:b/>
          <w:bCs/>
          <w:i/>
          <w:iCs/>
          <w:color w:val="6B7280"/>
          <w:sz w:val="20"/>
          <w:szCs w:val="20"/>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pPr>
    <w:r>
      <w:rPr>
        <w:rFonts w:ascii="Arial" w:cs="Arial" w:eastAsia="Arial" w:hAnsi="Arial"/>
        <w:color w:val="6B7280"/>
        <w:sz w:val="16"/>
        <w:szCs w:val="16"/>
      </w:rPr>
      <w:t xml:space="preserve">© 2025 Research Report — All data sourced from SEC EDGAR, FFIEC, FDIC &amp; Exchange public databases</w:t>
    </w:r>
    <w:r>
      <w:rPr>
        <w:rFonts w:ascii="Arial" w:cs="Arial" w:eastAsia="Arial" w:hAnsi="Arial"/>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360"/>
      </w:tabs>
      <w:spacing w:after="0"/>
    </w:pPr>
    <w:r>
      <w:rPr>
        <w:rFonts w:ascii="Arial" w:cs="Arial" w:eastAsia="Arial" w:hAnsi="Arial"/>
        <w:color w:val="6B7280"/>
        <w:sz w:val="16"/>
        <w:szCs w:val="16"/>
      </w:rPr>
      <w:t xml:space="preserve">US Public Company Financial &amp; Regulatory Document Reference Guide</w:t>
    </w:r>
    <w:r>
      <w:rPr>
        <w:rFonts w:ascii="Arial" w:cs="Arial" w:eastAsia="Arial" w:hAnsi="Arial"/>
      </w:rPr>
      <w:t xml:space="preserve">	</w:t>
    </w:r>
    <w:r>
      <w:rPr>
        <w:rFonts w:ascii="Arial" w:cs="Arial" w:eastAsia="Arial" w:hAnsi="Arial"/>
        <w:b/>
        <w:bCs/>
        <w:color w:val="6B7280"/>
        <w:sz w:val="16"/>
        <w:szCs w:val="16"/>
      </w:rPr>
      <w:t xml:space="preserve">CONFIDENTIAL — FOR RESEARCH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00"/>
      <w:outlineLvl w:val="1"/>
    </w:pPr>
    <w:rPr>
      <w:rFonts w:ascii="Arial" w:cs="Arial" w:eastAsia="Arial" w:hAnsi="Arial"/>
      <w:b/>
      <w:bCs/>
      <w:color w:val="1B3A6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67trkrvp_rr6e0kcytid0" Type="http://schemas.openxmlformats.org/officeDocument/2006/relationships/hyperlink" Target="https://www.sec.gov/cgi-bin/browse-edgar?action=getcompany&amp;CIK=0000320193&amp;type=10-K&amp;dateb=&amp;owner=include&amp;count=10" TargetMode="External"/><Relationship Id="rIdh4szpg1-noxuc_rhyhtos" Type="http://schemas.openxmlformats.org/officeDocument/2006/relationships/hyperlink" Target="https://efts.sec.gov/LATEST/search-index?q=%2210-K%2FA%22&amp;dateRange=custom&amp;startdt=2024-01-01&amp;enddt=2024-12-31&amp;forms=10-K%2FA" TargetMode="External"/><Relationship Id="rId3faefhfn_qx5vtvng-krm" Type="http://schemas.openxmlformats.org/officeDocument/2006/relationships/hyperlink" Target="https://www.sec.gov/cgi-bin/browse-edgar?action=getcompany&amp;CIK=0000096879&amp;type=20-F&amp;dateb=&amp;owner=include&amp;count=10" TargetMode="External"/><Relationship Id="rId6n33k5dftftabmb2e4axg" Type="http://schemas.openxmlformats.org/officeDocument/2006/relationships/hyperlink" Target="https://efts.sec.gov/LATEST/search-index?forms=40-F" TargetMode="External"/><Relationship Id="rIdaqrotbkwah--hwvnas9gy" Type="http://schemas.openxmlformats.org/officeDocument/2006/relationships/hyperlink" Target="https://www.sec.gov/cgi-bin/browse-edgar?action=getcompany&amp;CIK=0000789019&amp;type=10-Q&amp;dateb=&amp;owner=include&amp;count=10" TargetMode="External"/><Relationship Id="rId4_rs8t-dgxwjei2lpvrd5" Type="http://schemas.openxmlformats.org/officeDocument/2006/relationships/hyperlink" Target="https://efts.sec.gov/LATEST/search-index?forms=S-1,S-3,S-4,S-8,F-1,F-3" TargetMode="External"/><Relationship Id="rIdzdejgbf3wm5molygwfoxq" Type="http://schemas.openxmlformats.org/officeDocument/2006/relationships/hyperlink" Target="https://efts.sec.gov/LATEST/search-index?forms=8-K&amp;dateRange=custom&amp;startdt=2024-12-01&amp;enddt=2025-02-01" TargetMode="External"/><Relationship Id="rIdy5oju7sxjjqow5btvrwpn" Type="http://schemas.openxmlformats.org/officeDocument/2006/relationships/hyperlink" Target="https://www.sec.gov/cgi-bin/browse-edgar?action=getcompany&amp;CIK=0000320193&amp;type=DEF+14A&amp;dateb=&amp;owner=include&amp;count=10" TargetMode="External"/><Relationship Id="rIdwdmbxdwpkrhv3lwjjfzeo" Type="http://schemas.openxmlformats.org/officeDocument/2006/relationships/hyperlink" Target="https://www.sec.gov/cgi-bin/browse-edgar?action=getcompany&amp;type=SC+13&amp;dateb=&amp;owner=include&amp;count=40&amp;search_text=" TargetMode="External"/><Relationship Id="rIdcvebsf4vh3gqfwukngivj" Type="http://schemas.openxmlformats.org/officeDocument/2006/relationships/hyperlink" Target="https://cdr.ffiec.gov/public/" TargetMode="External"/><Relationship Id="rIdt9ilacd5hb3hgjbqoeevx" Type="http://schemas.openxmlformats.org/officeDocument/2006/relationships/hyperlink" Target="https://banks.data.fdic.gov/docs/" TargetMode="External"/><Relationship Id="rIdwaff97c5lc6smaj6-vd30" Type="http://schemas.openxmlformats.org/officeDocument/2006/relationships/hyperlink" Target="https://www.federalreserve.gov/releases/lbr/" TargetMode="External"/><Relationship Id="rIdqvlev9lhzrmygqwetmdnj" Type="http://schemas.openxmlformats.org/officeDocument/2006/relationships/hyperlink" Target="https://www.occ.gov/topics/charters-and-licensing/index-charters-and-licensing.html" TargetMode="External"/><Relationship Id="rId2raergfwbmfow01olksqk" Type="http://schemas.openxmlformats.org/officeDocument/2006/relationships/hyperlink" Target="https://ffiec.cfpb.gov/data-browser/" TargetMode="External"/><Relationship Id="rIdcv32nd-ksux-uu6tesbij" Type="http://schemas.openxmlformats.org/officeDocument/2006/relationships/hyperlink" Target="https://banks.data.fdic.gov/" TargetMode="External"/><Relationship Id="rIdmdo68zca5wcws60begd2b" Type="http://schemas.openxmlformats.org/officeDocument/2006/relationships/hyperlink" Target="https://www.federalreserve.gov/supervisionreg/stress-tests-capital-planning.htm" TargetMode="External"/><Relationship Id="rIdvu6vethk_ghzilvnwp-u8" Type="http://schemas.openxmlformats.org/officeDocument/2006/relationships/hyperlink" Target="https://nyseguide.sasco.com/listed-company-manual" TargetMode="External"/><Relationship Id="rId9jalajhe0d4yf0mvy31il" Type="http://schemas.openxmlformats.org/officeDocument/2006/relationships/hyperlink" Target="https://listingcenter.nasdaq.com/rulebook/nasdaq/rules" TargetMode="External"/><Relationship Id="rIdavkjajklp4kxzkbegcz9f" Type="http://schemas.openxmlformats.org/officeDocument/2006/relationships/hyperlink" Target="https://www.cftc.gov/MarketReports/index.htm" TargetMode="External"/><Relationship Id="rIdi2tjomnp24sq1dsrx2lkm" Type="http://schemas.openxmlformats.org/officeDocument/2006/relationships/hyperlink" Target="https://efts.sec.gov/LATEST/search-index" TargetMode="External"/><Relationship Id="rIdsnn69pfbypfn_ohlz_rr9" Type="http://schemas.openxmlformats.org/officeDocument/2006/relationships/hyperlink" Target="https://www.sec.gov/cgi-bin/browse-edgar?action=getcompany" TargetMode="External"/><Relationship Id="rIdugnhh9e_saxuopmmtotcq" Type="http://schemas.openxmlformats.org/officeDocument/2006/relationships/hyperlink" Target="https://data.sec.gov/submissions/CIK{10-digit}.json" TargetMode="External"/><Relationship Id="rIdl7bu2pzwcnefo5aeoeh0k" Type="http://schemas.openxmlformats.org/officeDocument/2006/relationships/hyperlink" Target="https://viewer.fasb.org/" TargetMode="External"/><Relationship Id="rIdjyxvacf2y7s1x0fumeyhd" Type="http://schemas.openxmlformats.org/officeDocument/2006/relationships/hyperlink" Target="https://www.sec.gov/cgi-bin/browse-edgar?action=getcurrent" TargetMode="External"/><Relationship Id="rIdixuhhkvfzz76bjz1ef0is" Type="http://schemas.openxmlformats.org/officeDocument/2006/relationships/hyperlink" Target="https://www.federalreserve.gov/releases/lbr/" TargetMode="External"/><Relationship Id="rIdk5tefo4ns05qxhl_hqfdm" Type="http://schemas.openxmlformats.org/officeDocument/2006/relationships/hyperlink" Target="https://banks.data.fdic.gov/" TargetMode="External"/><Relationship Id="rIdor2hph3rrmjyslzmnwdgh" Type="http://schemas.openxmlformats.org/officeDocument/2006/relationships/hyperlink" Target="https://cdr.ffiec.gov/public/" TargetMode="External"/><Relationship Id="rIdllpuicv3p9xdvukf2m8l-" Type="http://schemas.openxmlformats.org/officeDocument/2006/relationships/hyperlink" Target="https://www.occ.gov/publications-and-resources/publications/quarterly-report-on-bank-trading-and-derivatives-activities/index-quarterly-report-bank-trading-derivatives.html" TargetMode="External"/><Relationship Id="rIdbm64-ygk0yempvpjaalkc" Type="http://schemas.openxmlformats.org/officeDocument/2006/relationships/hyperlink" Target="https://ffiec.cfpb.gov/data-browser/" TargetMode="External"/><Relationship Id="rIdxs7kdre8x-_mraa6ys1ap" Type="http://schemas.openxmlformats.org/officeDocument/2006/relationships/hyperlink" Target="https://www.fincen.gov/reports/sar-stats" TargetMode="External"/><Relationship Id="rIdvbkv5535so6f6fowiqtwu" Type="http://schemas.openxmlformats.org/officeDocument/2006/relationships/hyperlink" Target="https://www.cftc.gov/MarketReports/index.htm" TargetMode="External"/><Relationship Id="rIdd2skj-wii9atgjovqa2rl" Type="http://schemas.openxmlformats.org/officeDocument/2006/relationships/hyperlink" Target="https://ticdata.treasury.gov/" TargetMode="External"/><Relationship Id="rId4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2026-02-21T09:51:09.213Z</dcterms:created>
  <dcterms:modified xsi:type="dcterms:W3CDTF">2026-02-21T09:51:09.214Z</dcterms:modified>
</cp:coreProperties>
</file>

<file path=docProps/custom.xml><?xml version="1.0" encoding="utf-8"?>
<Properties xmlns="http://schemas.openxmlformats.org/officeDocument/2006/custom-properties" xmlns:vt="http://schemas.openxmlformats.org/officeDocument/2006/docPropsVTypes"/>
</file>