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2563EB"/>
          <w:sz w:val="52"/>
          <w:szCs w:val="52"/>
        </w:rPr>
        <w:t xml:space="preserve">SIGMA</w:t>
      </w:r>
      <w:r>
        <w:rPr>
          <w:rFonts w:ascii="Calibri" w:cs="Calibri" w:eastAsia="Calibri" w:hAnsi="Calibri"/>
          <w:color w:val="0D9488"/>
          <w:sz w:val="26"/>
          <w:szCs w:val="26"/>
        </w:rPr>
        <w:t xml:space="preserve">  ·  Seizure Intelligence &amp; Growth Management Agent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F172A"/>
          <w:sz w:val="32"/>
          <w:szCs w:val="32"/>
        </w:rPr>
        <w:t xml:space="preserve">Definition of Done (DoD) — Evidence Checklist</w:t>
      </w:r>
    </w:p>
    <w:p>
      <w:pPr>
        <w:pBdr>
          <w:bottom w:val="single" w:color="2563EB" w:sz="12"/>
        </w:pBdr>
        <w:spacing w:after="200"/>
      </w:pPr>
      <w:r>
        <w:rPr>
          <w:rFonts w:ascii="Calibri" w:cs="Calibri" w:eastAsia="Calibri" w:hAnsi="Calibri"/>
          <w:i/>
          <w:iCs/>
          <w:color w:val="475569"/>
          <w:sz w:val="19"/>
          <w:szCs w:val="19"/>
        </w:rPr>
        <w:t xml:space="preserve">Use case: Intelligent Patient Journey Analyser &amp; Pharma Strategy Agent   |   Team: CT-Hackcelerate   |   Date: 15 Jul 2026</w:t>
      </w:r>
    </w:p>
    <w:p>
      <w:pPr>
        <w:spacing w:after="24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Definition of Done (DoD) evidence maps every completion criterion of the assigned use case to a concrete, verifiable artifact — a file, a screen, a database record, or a demo step — so reviewers can confirm the work is genuinely done rather than merely claimed. Repository: github.com/CT-Hackcelerate/SIGMA---Seizure-Intelligence-Growth-Management-Agent (main branch). Stack: Python · Streamlit · Plotly · Anthropic Claude API · SQL Server (SSMS, live) · pyodbc. Business identity: our company = EISAI (hero brands Banzel, Fycompa); US seizure &amp; epilepsy cohort incl. Lennox-Gastaut Syndrome — every number in the app is scoped to the seizure cohort only.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1. Core Use Case — Patient Journey Analysis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900"/>
        <w:gridCol w:w="5320"/>
      </w:tblGrid>
      <w:tr>
        <w:trPr>
          <w:tblHeader/>
        </w:trPr>
        <w:tc>
          <w:tcPr>
            <w:tcW w:type="dxa" w:w="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 (Definition of Done)</w:t>
            </w:r>
          </w:p>
        </w:tc>
        <w:tc>
          <w:tcPr>
            <w:tcW w:type="dxa" w:w="9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2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— where / how to verify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1.1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Analyse individual patient journeys end-to-end (symptom → diagnosis → treatment → medicine switches → side effects)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Patient Journey Explorer — Timeline Storyteller grid (one row per event type, one square per event, years across the axis); app.py Page 2. Demo with any patient, e.g. #106218944.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1.2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Journey filterable by cohort context (seizure severity, age band) and by date range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Context &amp; age-group dropdowns + month-granular date range slider directly above the timeline; live matching-patient count banner.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1.3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Journey readable by a non-clinical user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Colour-key legend (“What each square means”), “Read this journey as a story” plain-language expander, full event table, captions under every chart.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1.4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Population-level journey analytics: diagnosis delay, treatment funnel, drop-off, drug switching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Diagnosis Intelligence page (delay by state, suspects, untreated) and Treatment &amp; Adherence page (funnel Diagnosed→Treated→Adherent from live data, switch reasons, old→new medicine Sankey).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2. Live Data Integration (SQL Server / SSMS)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900"/>
        <w:gridCol w:w="5320"/>
      </w:tblGrid>
      <w:tr>
        <w:trPr>
          <w:tblHeader/>
        </w:trPr>
        <w:tc>
          <w:tcPr>
            <w:tcW w:type="dxa" w:w="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 (Definition of Done)</w:t>
            </w:r>
          </w:p>
        </w:tc>
        <w:tc>
          <w:tcPr>
            <w:tcW w:type="dxa" w:w="9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2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— where / how to verify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2.1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Runs on the live SSMS database — no hard-coded numbers, no dummy fallback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db.py (SSMS-only access layer). Pre-flight proof: python test_connection.py lists ODBC drivers, connects, enumerates all tables with row counts.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2.2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New rows added in SSMS appear in the app without redeploy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Sidebar “Refresh Data from SSMS” button; demo by inserting a row in SSMS and refreshing.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2.3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All 18 source tables consumed correctly (space-containing names bracketed, e.g. [PX  CLM])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backend.py parameterised T-SQL; complete schema description in agent.py::_schema_text() used by the AI agent.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3. Agentic AI Capabilities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900"/>
        <w:gridCol w:w="5320"/>
      </w:tblGrid>
      <w:tr>
        <w:trPr>
          <w:tblHeader/>
        </w:trPr>
        <w:tc>
          <w:tcPr>
            <w:tcW w:type="dxa" w:w="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 (Definition of Done)</w:t>
            </w:r>
          </w:p>
        </w:tc>
        <w:tc>
          <w:tcPr>
            <w:tcW w:type="dxa" w:w="9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2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— where / how to verify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3.1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AI generates insights from the live, currently-filtered page data (never canned text)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ai_engine.py::generate_page_insight() — Claude structured JSON output; “✨ Generate” panel on every page; active filters passed into the AI context.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3.2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Agent writes and runs its own SQL (tool use), answers with real numbers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agent.py query_database tool; AI Strategy Agent chat shows the executed SQL in a code block under each answer.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3.3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Agent proposes executable actions — patient-level and business-level, with alternatives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Opportunity cards: each finding carries 2–3 genuinely different options (effort/cost/timeframe/confidence/$ value); propose_action &amp; propose_business_action tools.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3.4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Human-in-the-loop: no action executes without approval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Action Center approval queue (Agent_Pending_Actions / Agent_Business_Actions); actions.py propose → approve → execute flow.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3.5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Governed autonomy (risk-tiered auto-execution)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agent_watchdog.py sweep on every start; actions.py RISK_TIERS — low-risk actions auto-execute as “Autopilot” when Autonomous Mode is ON; high-risk (tests, prescriptions, referrals, budget) always wait for a human.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3.6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Agent learns from business rejections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Rejected actions are not re-proposed for 30 days (hard guard) and recent rejections are injected into every insight/chat prompt (actions.py::get_recent_rejections).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3.7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Unattended scheduled operation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python scheduler.py --once (single cycle) or daily 08:00 mode — watchdog sweep + Claude deep scan fill the approval queue; console report printed.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4. Action Execution &amp; Auditability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900"/>
        <w:gridCol w:w="5320"/>
      </w:tblGrid>
      <w:tr>
        <w:trPr>
          <w:tblHeader/>
        </w:trPr>
        <w:tc>
          <w:tcPr>
            <w:tcW w:type="dxa" w:w="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 (Definition of Done)</w:t>
            </w:r>
          </w:p>
        </w:tc>
        <w:tc>
          <w:tcPr>
            <w:tcW w:type="dxa" w:w="9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2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— where / how to verify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4.1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Approved actions create real records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Rows visible in SSMS: Agent_Appointments, Agent_Notifications (simulated e-mail unless SMTP configured); demo an approval and show the new row.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4.2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Complete audit trail with consistent timestamps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Audit Log tab in Action Center; every timestamp written as SYSUTCDATETIME() and displayed with “(UTC)” column labels and a UTC banner.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4.3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Value/ROI tracking of agent activity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Action Center KPI row: Value Captured, Value Pending, Actions Executed (incl. Autopilot count), Approval Rate, Patient Touchpoints.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5. Privacy &amp; Safety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900"/>
        <w:gridCol w:w="5320"/>
      </w:tblGrid>
      <w:tr>
        <w:trPr>
          <w:tblHeader/>
        </w:trPr>
        <w:tc>
          <w:tcPr>
            <w:tcW w:type="dxa" w:w="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 (Definition of Done)</w:t>
            </w:r>
          </w:p>
        </w:tc>
        <w:tc>
          <w:tcPr>
            <w:tcW w:type="dxa" w:w="9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2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— where / how to verify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5.1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Patients identified by ID only — no names anywhere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No patient-name columns exist in the data; UI, filters, AI prompts and notifications use patient_id (de-identified aliases patient_&lt;id&gt;@notify.pharma).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5.2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Agent SQL is read-only and bounded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agent.py::_run_readonly_sql — SELECT-only, write/DDL keyword blocklist, 200-row result cap.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5.3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App never writes to source clinical/claims tables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Writes restricted to the six Agent_* operational tables (db.py::ensure_agent_tables).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5.4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No secrets in the repository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.env (API key, DB credentials) is in .gitignore; verified absent from the GitHub repo; config.py loads everything from environment.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6. Usability &amp; Dashboarding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900"/>
        <w:gridCol w:w="5320"/>
      </w:tblGrid>
      <w:tr>
        <w:trPr>
          <w:tblHeader/>
        </w:trPr>
        <w:tc>
          <w:tcPr>
            <w:tcW w:type="dxa" w:w="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 (Definition of Done)</w:t>
            </w:r>
          </w:p>
        </w:tc>
        <w:tc>
          <w:tcPr>
            <w:tcW w:type="dxa" w:w="9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2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— where / how to verify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6.1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Interactive dashboards: date slicers + click cross-filtering per section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Every data page has a month-granular date slicer; clicking a bar or a map state cross-filters all charts in that section (highlight + “✖ Clear” chip).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6.2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Layman-readable visuals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Plain-English caption under every chart; data labels on every bar; all numbers ≥ 4 digits comma-separated; no red colour palette in charts.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6.3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Geographic visualisation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Two US choropleth heatmaps (sales by state, marketing spend by state) on Physician &amp; Geo Intelligence, clickable for cross-filter.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6.4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Commercial intelligence — manufacturer loyalty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“Top doctors — whose medicines do they prescribe?” stacked chart (EISAI vs competitors vs OTHERS) + per-doctor “EISAI share” metric and mix chart in the Doctor Profile.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7. Engineering &amp; Delivery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300"/>
        <w:gridCol w:w="900"/>
        <w:gridCol w:w="5320"/>
      </w:tblGrid>
      <w:tr>
        <w:trPr>
          <w:tblHeader/>
        </w:trPr>
        <w:tc>
          <w:tcPr>
            <w:tcW w:type="dxa" w:w="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Criterion (Definition of Done)</w:t>
            </w:r>
          </w:p>
        </w:tc>
        <w:tc>
          <w:tcPr>
            <w:tcW w:type="dxa" w:w="9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32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Evidence — where / how to verify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7.1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Code, tools, agent files and prompts in a shared repository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GitHub: CT-Hackcelerate/SIGMA---Seizure-Intelligence-Growth-Management-Agent (main branch) — all source, tool schemas, agent prompts, README, PROJECT_DOCUMENTATION.txt.</w:t>
            </w:r>
          </w:p>
        </w:tc>
      </w:tr>
      <w:tr>
        <w:tc>
          <w:tcPr>
            <w:tcW w:type="dxa" w:w="56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7.2</w:t>
            </w:r>
          </w:p>
        </w:tc>
        <w:tc>
          <w:tcPr>
            <w:tcW w:type="dxa" w:w="33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Reproducible setup: prerequisites, commands, inputs/outputs, troubleshooting</w:t>
            </w:r>
          </w:p>
        </w:tc>
        <w:tc>
          <w:tcPr>
            <w:tcW w:type="dxa" w:w="90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shd w:fill="EEF2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README.md §1–§3 (setup &amp; commands), §5 (inputs/outputs), §8 (troubleshooting table); test_connection.py pre-flight script.</w:t>
            </w:r>
          </w:p>
        </w:tc>
      </w:tr>
      <w:tr>
        <w:tc>
          <w:tcPr>
            <w:tcW w:type="dxa" w:w="5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72A"/>
                <w:sz w:val="19"/>
                <w:szCs w:val="19"/>
              </w:rPr>
              <w:t xml:space="preserve">7.3</w:t>
            </w:r>
          </w:p>
        </w:tc>
        <w:tc>
          <w:tcPr>
            <w:tcW w:type="dxa" w:w="3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Limitations stated honestly</w:t>
            </w:r>
          </w:p>
        </w:tc>
        <w:tc>
          <w:tcPr>
            <w:tcW w:type="dxa" w:w="9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47857"/>
                <w:sz w:val="19"/>
                <w:szCs w:val="19"/>
              </w:rPr>
              <w:t xml:space="preserve">DONE</w:t>
            </w:r>
          </w:p>
        </w:tc>
        <w:tc>
          <w:tcPr>
            <w:tcW w:type="dxa" w:w="5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475569"/>
                <w:sz w:val="19"/>
                <w:szCs w:val="19"/>
              </w:rPr>
              <w:t xml:space="preserve">README.md §7 — SSMS-only, API credits required, data ends 2025, simulated e-mail without SMTP, session-scoped insights, 12-turn agent cap.</w:t>
            </w:r>
          </w:p>
        </w:tc>
      </w:tr>
    </w:tbl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0D9488"/>
          <w:sz w:val="25"/>
          <w:szCs w:val="25"/>
        </w:rPr>
        <w:t xml:space="preserve">Known Gaps (declared transparently)</w:t>
      </w:r>
    </w:p>
    <w:p>
      <w:pPr>
        <w:spacing w:after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• No automated unit-test suite (verification is via test_connection.py, live smoke tests and manual demo scripts).</w:t>
      </w:r>
    </w:p>
    <w:p>
      <w:pPr>
        <w:spacing w:after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• E-mail delivery is simulated unless SMTP credentials are configured in .env.</w:t>
      </w:r>
    </w:p>
    <w:p>
      <w:pPr>
        <w:spacing w:after="12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• AI insight cards are session-scoped (approved/queued actions persist in the database).</w:t>
      </w:r>
    </w:p>
    <w:p>
      <w:pPr>
        <w:spacing w:after="260"/>
      </w:pPr>
      <w:r>
        <w:rPr>
          <w:rFonts w:ascii="Calibri" w:cs="Calibri" w:eastAsia="Calibri" w:hAnsi="Calibri"/>
          <w:color w:val="475569"/>
          <w:sz w:val="21"/>
          <w:szCs w:val="21"/>
        </w:rPr>
        <w:t xml:space="preserve">• No role-based access control yet — single-operator approval model (roadmap item 9.14).</w:t>
      </w:r>
    </w:p>
    <w:p>
      <w:pPr>
        <w:pBdr>
          <w:top w:val="single" w:color="0D9488" w:sz="8"/>
        </w:pBdr>
        <w:spacing w:before="160"/>
      </w:pPr>
      <w:r>
        <w:rPr>
          <w:rFonts w:ascii="Calibri" w:cs="Calibri" w:eastAsia="Calibri" w:hAnsi="Calibri"/>
          <w:i/>
          <w:iCs/>
          <w:color w:val="475569"/>
          <w:sz w:val="17"/>
          <w:szCs w:val="17"/>
        </w:rPr>
        <w:t xml:space="preserve">Prepared for CT-Hackcelerate DoD review · SIGMA — Seizure Intelligence &amp; Growth Management Agent · All evidence verifiable in the repository and the live application.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7556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2026-07-15T14:17:27.461Z</dcterms:created>
  <dcterms:modified xsi:type="dcterms:W3CDTF">2026-07-15T14:17:27.462Z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