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563EB"/>
          <w:sz w:val="52"/>
          <w:szCs w:val="52"/>
        </w:rPr>
        <w:t xml:space="preserve">SIGMA</w:t>
      </w:r>
      <w:r>
        <w:rPr>
          <w:rFonts w:ascii="Calibri" w:cs="Calibri" w:eastAsia="Calibri" w:hAnsi="Calibri"/>
          <w:color w:val="0D9488"/>
          <w:sz w:val="26"/>
          <w:szCs w:val="26"/>
        </w:rPr>
        <w:t xml:space="preserve">  ·  Seizure Intelligence &amp; Growth Management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Safety &amp; Compliance Note</w:t>
      </w:r>
    </w:p>
    <w:p>
      <w:pPr>
        <w:pBdr>
          <w:bottom w:val="single" w:color="2563EB" w:sz="12"/>
        </w:pBdr>
        <w:spacing w:after="2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PHI/PII Handling · AI Guardrails · Human Review   |   Team: CT-Hackcelerate   |   Date: 15 Jul 2026   |   Repo: github.com/CT-Hackcelerate/SIGMA---Seizure-Intelligence-Growth-Management-Agent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9488"/>
          <w:sz w:val="27"/>
          <w:szCs w:val="27"/>
        </w:rPr>
        <w:t xml:space="preserve">1. PHI / PII Handling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De-identified by design — no patient names exist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dataset contains NO patient name columns. Seizure patients are identified exclusively by a numeric PATIENT_ID across the database, the UI, all filters, all AI prompts and all AI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Quasi-identifiers are minimised at the source: birth YEAR only (never a full date of birth), 3-digit ZIP prefix only (never an address), gender code, and US state. No contact details, no SSN, no MRN, no free-text clinical notes.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De-identified communication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Patient notifications are addressed to system aliases of the form patient_&lt;id&gt;@notify.pharma — never to a real personal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Unless SMTP is explicitly configured, e-mails are SIMULATED and only recorded in the Agent_Notifications table — nothing leaves the system.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Physician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Physician names, specialties and locations ARE used — professional (not patient) information, used for legitimate commercial targeting, consistent with industry practice.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Data residency &amp;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All source data remains in the customer-controlled SQL Server (SSMS) database. The application reads it live and never copies it to files, exports or third-party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Sent to the Claude API: only the aggregated numbers / limited de-identified rows already shown on the current page (capped payload, PATIENT_ID-only), plus the user's question. Never names (none exist), never credentials, never the whole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Secrets (Claude API key, DB credentials, SMTP credentials) live only in the local .env file, excluded from version control via .gitignore — verified absent from the repository.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Write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application NEVER writes to the source clinical/claims tables. All writes are confined to six dedicated operational tables (Agent_Pending_Actions, Agent_Business_Actions, Agent_Appointments, Agent_Notifications, Agent_Audit_Log, Agent_Chat_History).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9488"/>
          <w:sz w:val="27"/>
          <w:szCs w:val="27"/>
        </w:rPr>
        <w:t xml:space="preserve">2. AI Guardrails (technical controls on the agent)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Read-only SQL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agent's query_database tool accepts SELECT/WITH statements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 keyword blocklist rejects INSERT, UPDATE, DELETE, DROP, ALTER, TRUNCATE, CREATE, GRANT, EXEC and MERGE before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Result sets are capped at 200 rows per query — no bulk extraction.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Bounded agent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conversational agent loop is capped at 12 tool-use turns per question (no runaway execution).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autonomous Watchdog proposes at most 5 actions per category per sweep, most urgent first — the queue stays reviewable by a human.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 duplicate-proposal guard prevents the same action being queued twice for the same patient or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Rejection memory: any action the business rejects is NOT re-proposed for 30 days, and recent rejections are injected into every AI prompt (“the business said no — propose a different approach”).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Structured, validated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Page insights are produced under a strict JSON schema (Claude structured outputs), so recommendations are machine-checkable — no free-text parsing, no unvetted content reaching the executors.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Action types are enumerated allow-lists (7 patient-level, 6 business-level). The agent cannot invent new action types.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Risk-tiered autonomy (governed, not open-ended)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LOW-risk, reversible actions (send notification, schedule appointment, escalate claim, enroll support program) may auto-execute as “Autopilot” ONLY while the operator-controlled Autonomous Mode toggle is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HIGH-risk actions ALWAYS require human approval — order diagnostic test, change prescription, refer to specialist, and ALL business/strategic actions (budget, field force, payer negotiation, campaigns, partnerships). This is hard-coded policy (actions.RISK_TIERS), not a model decision.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Transparency &amp; failure containment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chat agent displays the exact SQL it executed under every answer; diagnosis codes are always paired with their plain-English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API errors (invalid key, rate limit, network) surface as readable messages; the analytics dashboards keep working without the AI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Database connectivity is validated at startup (test_connection.py pre-flight); the app self-heals stale code modules on refresh.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9488"/>
          <w:sz w:val="27"/>
          <w:szCs w:val="27"/>
        </w:rPr>
        <w:t xml:space="preserve">3. Human Review (human-in-the-loop by construction)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Proposal → Approval →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The AI can only PROPOSE. Every proposed action lands in a pending queue (patient and business actions, listed separately in the Action Center) with its details, data-grounded reason, expected impact and estimated $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 human clicks Approve &amp; Execute or Reject (per item, or in bulk). Only approval triggers execution; queued items remain visible until decided.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Operator control of autonomy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Autonomous Mode is a visible sidebar toggle, OFF-switchable at any time; its live status is shown on every page in the agent status strip (detections found, auto-handled count, approvals pending).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Even in Autonomous Mode, only the LOW-risk allow-list may execute without a click; everything else waits for a human.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Full auditability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Every proposal, approval, rejection, execution and notification is written to Agent_Audit_Log with actor (“Autopilot”, “Human Operator”, “AI Insight”, “Watchdog”), action, status and patient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ALL operational timestamps are stored and displayed in UTC (SYSUTCDATETIME), with columns explicitly labeled “(UTC)” — a single consistent timeline regardless of who or what acted.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Value metrics (Value Captured, Value Pending, Approval Rate, Autopilot execution count) quantify what the agent did and what humans approved, enabling ongoing governance review.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9488"/>
          <w:sz w:val="27"/>
          <w:szCs w:val="27"/>
        </w:rPr>
        <w:t xml:space="preserve">4. Known Limitations (declared)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No role-based access control yet — single-operator approval model (roadmap: role-based approvals, PII access logging, per-action explainability records for regulatory audit).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E-mail delivery is simulated unless SMTP is configured.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This is a hackathon prototype on a de-identified dataset; production use would additionally require a formal HIPAA/GDPR assessment, BAA coverage for the model API, penetration testing and organisational sign-off.</w:t>
      </w:r>
    </w:p>
    <w:p>
      <w:pPr>
        <w:pBdr>
          <w:top w:val="single" w:color="0D9488" w:sz="8"/>
        </w:pBdr>
        <w:spacing w:before="20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Prepared for CT-Hackcelerate compliance review · SIGMA — Seizure Intelligence &amp; Growth Management Agent · All controls verifiable in the repository and the live application.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2026-07-15T14:17:27.939Z</dcterms:created>
  <dcterms:modified xsi:type="dcterms:W3CDTF">2026-07-15T14:17:27.940Z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