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563EB"/>
          <w:sz w:val="52"/>
          <w:szCs w:val="52"/>
        </w:rPr>
        <w:t xml:space="preserve">SIGMA</w:t>
      </w:r>
      <w:r>
        <w:rPr>
          <w:rFonts w:ascii="Calibri" w:cs="Calibri" w:eastAsia="Calibri" w:hAnsi="Calibri"/>
          <w:color w:val="0D9488"/>
          <w:sz w:val="26"/>
          <w:szCs w:val="26"/>
        </w:rPr>
        <w:t xml:space="preserve">  ·  Seizure Intelligence &amp; Growth Management Agent</w:t>
      </w:r>
    </w:p>
    <w:p>
      <w:pPr>
        <w:spacing w:after="40"/>
      </w:pPr>
      <w:r>
        <w:rPr>
          <w:rFonts w:ascii="Calibri" w:cs="Calibri" w:eastAsia="Calibri" w:hAnsi="Calibri"/>
          <w:b/>
          <w:bCs/>
          <w:color w:val="0F172A"/>
          <w:sz w:val="32"/>
          <w:szCs w:val="32"/>
        </w:rPr>
        <w:t xml:space="preserve">Definition of Done — Evidence Checklist</w:t>
      </w:r>
    </w:p>
    <w:p>
      <w:pPr>
        <w:pBdr>
          <w:bottom w:val="single" w:color="2563EB" w:sz="12"/>
        </w:pBdr>
        <w:spacing w:after="200"/>
      </w:pPr>
      <w:r>
        <w:rPr>
          <w:rFonts w:ascii="Calibri" w:cs="Calibri" w:eastAsia="Calibri" w:hAnsi="Calibri"/>
          <w:i/>
          <w:iCs/>
          <w:color w:val="475569"/>
          <w:sz w:val="19"/>
          <w:szCs w:val="19"/>
        </w:rPr>
        <w:t xml:space="preserve">Team: CT-Hackcelerate   |   Date: 15 Jul 2026   |   GitHub: CT-Hackcelerate/SIGMA---Seizure-Intelligence-Growth-Management-Agent</w:t>
      </w:r>
    </w:p>
    <w:p>
      <w:pPr>
        <w:spacing w:after="240"/>
      </w:pPr>
      <w:r>
        <w:rPr>
          <w:rFonts w:ascii="Calibri" w:cs="Calibri" w:eastAsia="Calibri" w:hAnsi="Calibri"/>
          <w:color w:val="475569"/>
          <w:sz w:val="21"/>
          <w:szCs w:val="21"/>
        </w:rPr>
        <w:t xml:space="preserve">SIGMA is an AI-powered platform for a pharma company that makes seizure (epilepsy) medicines. It reads the company's live patient database, shows what is happening to seizure patients in plain English, and lets the AI suggest real business actions — which a human approves before anything runs. This checklist lists everything that was required for the project to be called “done”, and for each point, the exact place a reviewer can verify it — a screen in the app, a file in the GitHub repository, or a live demo step.</w:t>
      </w:r>
    </w:p>
    <w:p>
      <w:pPr>
        <w:pStyle w:val="Heading2"/>
        <w:spacing w:after="120" w:before="260"/>
      </w:pPr>
      <w:r>
        <w:rPr>
          <w:rFonts w:ascii="Calibri" w:cs="Calibri" w:eastAsia="Calibri" w:hAnsi="Calibri"/>
          <w:b/>
          <w:bCs/>
          <w:color w:val="0D9488"/>
          <w:sz w:val="25"/>
          <w:szCs w:val="25"/>
        </w:rPr>
        <w:t xml:space="preserve">1. Understanding seizure patients (the core of SIGMA)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5020"/>
      </w:tblGrid>
      <w:tr>
        <w:trPr>
          <w:tblHeader/>
        </w:trPr>
        <w:tc>
          <w:tcPr>
            <w:tcW w:type="dxa" w:w="56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360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What was required (Definition of Done)</w:t>
            </w:r>
          </w:p>
        </w:tc>
        <w:tc>
          <w:tcPr>
            <w:tcW w:type="dxa" w:w="900"/>
            <w:shd w:fill="1E3A5F"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Status</w:t>
            </w:r>
          </w:p>
        </w:tc>
        <w:tc>
          <w:tcPr>
            <w:tcW w:type="dxa" w:w="502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Proof — where a reviewer can see it</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1.1</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Show one seizure patient's full story — first hospital visit, diagnosis, medicines taken, medicine changes, and side effects — on a single screen</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“Patient Journey Explorer” page: a timeline where every colored square is one real event. Hover any square for the detail. Demo with patient #106218944.</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1.2</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Let the user narrow that story — by seizure type, age group, and any date window</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Dropdown filters + a date slider directly above the timeline; a live counter shows how many patients match the filters.</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1.3</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Make it readable for people without a medical background</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A color legend explains every square; a “Read this journey as a story” section retells it in plain sentences; every chart in the app has a one-line explanation under it.</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1.4</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Show the big picture too: how long diagnosis takes, how many patients start and stay on medicine, and which medicines they switch to</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“Diagnosis Intelligence” and “Treatment &amp; Adherence” pages — waiting-time by state, the patient funnel (diagnosed → started medicine → still taking it), switch reasons, and a flow chart of old medicine → new medicine.</w:t>
            </w:r>
          </w:p>
        </w:tc>
      </w:tr>
    </w:tbl>
    <w:p>
      <w:pPr>
        <w:pStyle w:val="Heading2"/>
        <w:spacing w:after="120" w:before="260"/>
      </w:pPr>
      <w:r>
        <w:rPr>
          <w:rFonts w:ascii="Calibri" w:cs="Calibri" w:eastAsia="Calibri" w:hAnsi="Calibri"/>
          <w:b/>
          <w:bCs/>
          <w:color w:val="0D9488"/>
          <w:sz w:val="25"/>
          <w:szCs w:val="25"/>
        </w:rPr>
        <w:t xml:space="preserve">2. Real, live numbers — seizure patients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5020"/>
      </w:tblGrid>
      <w:tr>
        <w:trPr>
          <w:tblHeader/>
        </w:trPr>
        <w:tc>
          <w:tcPr>
            <w:tcW w:type="dxa" w:w="56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360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What was required (Definition of Done)</w:t>
            </w:r>
          </w:p>
        </w:tc>
        <w:tc>
          <w:tcPr>
            <w:tcW w:type="dxa" w:w="900"/>
            <w:shd w:fill="1E3A5F"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Status</w:t>
            </w:r>
          </w:p>
        </w:tc>
        <w:tc>
          <w:tcPr>
            <w:tcW w:type="dxa" w:w="502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Proof — where a reviewer can see it</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2.1</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Every number comes live from the company database — nothing is typed in or faked</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All figures are calculated from SQL Server at view time (backend.py). A checker script (test_connection.py) proves the connection and lists the tables.</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2.2</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New data added to the database shows up in the app without redeploying</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“Refresh Data” button in the sidebar — add a row in the database, refresh, see it appear.</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2.3</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Numbers count ONLY seizure &amp; epilepsy patients — never a general population</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Executive page header says so; the patient card shows the 7,343 seizure patients (not the raw 10,000 records), and every sales/claims figure counts anti-seizure medicines only.</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2.4</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The counts must reconcile — a reviewer can check the math</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A “How the numbers add up” line under the KPI cards: 7,343 = 6,943 diagnosed + 400 suspected; the diagnosed split into never-treated, active and stopped — calculated live, always consistent.</w:t>
            </w:r>
          </w:p>
        </w:tc>
      </w:tr>
    </w:tbl>
    <w:p>
      <w:pPr>
        <w:pStyle w:val="Heading2"/>
        <w:spacing w:after="120" w:before="260"/>
      </w:pPr>
      <w:r>
        <w:rPr>
          <w:rFonts w:ascii="Calibri" w:cs="Calibri" w:eastAsia="Calibri" w:hAnsi="Calibri"/>
          <w:b/>
          <w:bCs/>
          <w:color w:val="0D9488"/>
          <w:sz w:val="25"/>
          <w:szCs w:val="25"/>
        </w:rPr>
        <w:t xml:space="preserve">3. The AI agent — suggests first, never acts alone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5020"/>
      </w:tblGrid>
      <w:tr>
        <w:trPr>
          <w:tblHeader/>
        </w:trPr>
        <w:tc>
          <w:tcPr>
            <w:tcW w:type="dxa" w:w="56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360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What was required (Definition of Done)</w:t>
            </w:r>
          </w:p>
        </w:tc>
        <w:tc>
          <w:tcPr>
            <w:tcW w:type="dxa" w:w="900"/>
            <w:shd w:fill="1E3A5F"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Status</w:t>
            </w:r>
          </w:p>
        </w:tc>
        <w:tc>
          <w:tcPr>
            <w:tcW w:type="dxa" w:w="502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Proof — where a reviewer can see it</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3.1</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The AI explains each page's live data in simple business English</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“Generate” button on every page → a short executive summary with real numbers, risks, and the money at stake.</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3.2</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The AI answers free-typed questions by querying the database itself — and shows its work</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“AI Strategy Agent” chat page: ask anything (e.g. “which insurer refuses the most claims?”); the answer includes the exact database query it ran, for full transparency.</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3.3</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Every finding comes with 2–3 alternative actions so the business decides, not the AI</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Opportunity cards: each shows the options side by side with effort, cost, timeframe and estimated value.</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3.4</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Nothing happens without human approval</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Every suggested action goes to an approval queue in the “Action Center”; only clicking Approve makes it run. Approved/queued items disappear from the page so nothing is actioned twice.</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3.5</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Small, safe tasks may run automatically; anything risky always waits for a person</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“Autonomous Mode” switch in the sidebar. The safe list (reminders, appointments, claim follow-ups) is fixed in code — medicine changes, tests, referrals and budget moves ALWAYS need approval.</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3.6</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The AI respects a “no” — rejected ideas are not repeated</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A rejected action is blocked for 30 days and the AI is told about recent rejections so it proposes a different approach.</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3.7</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SIGMA can work unattended on a schedule</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One command (scheduler.py) runs a daily scan that finds risks and opportunities overnight and fills the approval queue for the morning.</w:t>
            </w:r>
          </w:p>
        </w:tc>
      </w:tr>
    </w:tbl>
    <w:p>
      <w:pPr>
        <w:pStyle w:val="Heading2"/>
        <w:spacing w:after="120" w:before="260"/>
      </w:pPr>
      <w:r>
        <w:rPr>
          <w:rFonts w:ascii="Calibri" w:cs="Calibri" w:eastAsia="Calibri" w:hAnsi="Calibri"/>
          <w:b/>
          <w:bCs/>
          <w:color w:val="0D9488"/>
          <w:sz w:val="25"/>
          <w:szCs w:val="25"/>
        </w:rPr>
        <w:t xml:space="preserve">4. Actions really happen — and everything is on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5020"/>
      </w:tblGrid>
      <w:tr>
        <w:trPr>
          <w:tblHeader/>
        </w:trPr>
        <w:tc>
          <w:tcPr>
            <w:tcW w:type="dxa" w:w="56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360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What was required (Definition of Done)</w:t>
            </w:r>
          </w:p>
        </w:tc>
        <w:tc>
          <w:tcPr>
            <w:tcW w:type="dxa" w:w="900"/>
            <w:shd w:fill="1E3A5F"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Status</w:t>
            </w:r>
          </w:p>
        </w:tc>
        <w:tc>
          <w:tcPr>
            <w:tcW w:type="dxa" w:w="502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Proof — where a reviewer can see it</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4.1</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An approved action creates a real record, not just a message on screen</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Approve an action, then open the Appointments / Notifications tabs — the new record is there, stored in the database.</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4.2</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A complete activity log: who did what and when</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“Audit Log” tab records every suggestion, approval, rejection and execution — by the human or by the AI — with all times in one world-standard clock (UTC), labeled on every column.</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4.3</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The value of the AI's work is measured in money</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Action Center scoreboard: Value Captured, Value Pending, actions executed, and the approval rate.</w:t>
            </w:r>
          </w:p>
        </w:tc>
      </w:tr>
    </w:tbl>
    <w:p>
      <w:pPr>
        <w:pStyle w:val="Heading2"/>
        <w:spacing w:after="120" w:before="260"/>
      </w:pPr>
      <w:r>
        <w:rPr>
          <w:rFonts w:ascii="Calibri" w:cs="Calibri" w:eastAsia="Calibri" w:hAnsi="Calibri"/>
          <w:b/>
          <w:bCs/>
          <w:color w:val="0D9488"/>
          <w:sz w:val="25"/>
          <w:szCs w:val="25"/>
        </w:rPr>
        <w:t xml:space="preserve">5. Privacy &amp; safety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5020"/>
      </w:tblGrid>
      <w:tr>
        <w:trPr>
          <w:tblHeader/>
        </w:trPr>
        <w:tc>
          <w:tcPr>
            <w:tcW w:type="dxa" w:w="56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360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What was required (Definition of Done)</w:t>
            </w:r>
          </w:p>
        </w:tc>
        <w:tc>
          <w:tcPr>
            <w:tcW w:type="dxa" w:w="900"/>
            <w:shd w:fill="1E3A5F"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Status</w:t>
            </w:r>
          </w:p>
        </w:tc>
        <w:tc>
          <w:tcPr>
            <w:tcW w:type="dxa" w:w="502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Proof — where a reviewer can see it</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5.1</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No patient names anywhere — patients are ID numbers only</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The data holds no name columns at all; screens, filters and AI messages use IDs; any patient message goes to a masked address (patient_&lt;id&gt;@notify.pharma).</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5.2</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The AI can only READ data — it can never change or delete it</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The AI's database access allows read-only queries; any modifying command is blocked in code, and results are capped at 200 rows.</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5.3</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The app never touches the original medical records</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It writes only to its own six tracking tables (approvals, appointments, notifications, logs, chat history).</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5.4</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No passwords or keys in the shared code</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All secrets live in a local .env file that is excluded from GitHub — verified absent from the repository.</w:t>
            </w:r>
          </w:p>
        </w:tc>
      </w:tr>
    </w:tbl>
    <w:p>
      <w:pPr>
        <w:pStyle w:val="Heading2"/>
        <w:spacing w:after="120" w:before="260"/>
      </w:pPr>
      <w:r>
        <w:rPr>
          <w:rFonts w:ascii="Calibri" w:cs="Calibri" w:eastAsia="Calibri" w:hAnsi="Calibri"/>
          <w:b/>
          <w:bCs/>
          <w:color w:val="0D9488"/>
          <w:sz w:val="25"/>
          <w:szCs w:val="25"/>
        </w:rPr>
        <w:t xml:space="preserve">6. Easy to use — works like a real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5020"/>
      </w:tblGrid>
      <w:tr>
        <w:trPr>
          <w:tblHeader/>
        </w:trPr>
        <w:tc>
          <w:tcPr>
            <w:tcW w:type="dxa" w:w="56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360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What was required (Definition of Done)</w:t>
            </w:r>
          </w:p>
        </w:tc>
        <w:tc>
          <w:tcPr>
            <w:tcW w:type="dxa" w:w="900"/>
            <w:shd w:fill="1E3A5F"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Status</w:t>
            </w:r>
          </w:p>
        </w:tc>
        <w:tc>
          <w:tcPr>
            <w:tcW w:type="dxa" w:w="502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Proof — where a reviewer can see it</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6.1</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Filter a whole section by date, like Power BI</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A date slider at the top of every section — drag it and every chart, table and number on the page updates together.</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6.2</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Click any chart to filter every other chart in that section</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Click a bar (or a state on a map): it stays highlighted, the rest of the page follows, and a ✖ Clear button resets.</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6.3</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Everything is labelled for a business reader</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Every chart has a plain-English caption; every KPI card shows a one-line description on hover; all large numbers are comma-formatted with values printed on the bars.</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6.4</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Show where the business is on the map, and who the key doctors are</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Two USA maps (sales per state vs marketing spend per state) reveal over-spent and under-sold states; the “Top doctors” chart shows whose medicines each doctor prescribes — blue = our company (EISAI) — pointing the sales team to the right doors.</w:t>
            </w:r>
          </w:p>
        </w:tc>
      </w:tr>
    </w:tbl>
    <w:p>
      <w:pPr>
        <w:pStyle w:val="Heading2"/>
        <w:spacing w:after="120" w:before="260"/>
      </w:pPr>
      <w:r>
        <w:rPr>
          <w:rFonts w:ascii="Calibri" w:cs="Calibri" w:eastAsia="Calibri" w:hAnsi="Calibri"/>
          <w:b/>
          <w:bCs/>
          <w:color w:val="0D9488"/>
          <w:sz w:val="25"/>
          <w:szCs w:val="25"/>
        </w:rPr>
        <w:t xml:space="preserve">7. Delivery — complete and reproducible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5020"/>
      </w:tblGrid>
      <w:tr>
        <w:trPr>
          <w:tblHeader/>
        </w:trPr>
        <w:tc>
          <w:tcPr>
            <w:tcW w:type="dxa" w:w="56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t>
            </w:r>
          </w:p>
        </w:tc>
        <w:tc>
          <w:tcPr>
            <w:tcW w:type="dxa" w:w="360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What was required (Definition of Done)</w:t>
            </w:r>
          </w:p>
        </w:tc>
        <w:tc>
          <w:tcPr>
            <w:tcW w:type="dxa" w:w="900"/>
            <w:shd w:fill="1E3A5F"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Status</w:t>
            </w:r>
          </w:p>
        </w:tc>
        <w:tc>
          <w:tcPr>
            <w:tcW w:type="dxa" w:w="5020"/>
            <w:shd w:fill="1E3A5F" w:val="clear"/>
            <w:tcMar>
              <w:top w:type="dxa" w:w="60"/>
              <w:left w:type="dxa" w:w="90"/>
              <w:bottom w:type="dxa" w:w="60"/>
              <w:right w:type="dxa" w:w="90"/>
            </w:tcMar>
          </w:tcPr>
          <w:p>
            <w:r>
              <w:rPr>
                <w:rFonts w:ascii="Calibri" w:cs="Calibri" w:eastAsia="Calibri" w:hAnsi="Calibri"/>
                <w:b/>
                <w:bCs/>
                <w:color w:val="FFFFFF"/>
                <w:sz w:val="19"/>
                <w:szCs w:val="19"/>
              </w:rPr>
              <w:t xml:space="preserve">Proof — where a reviewer can see it</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7.1</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Everything needed is in one shared GitHub repository</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Code, the AI's instructions (prompts), configuration, README, full project documentation, and this docs folder — repository main branch.</w:t>
            </w:r>
          </w:p>
        </w:tc>
      </w:tr>
      <w:tr>
        <w:tc>
          <w:tcPr>
            <w:tcW w:type="dxa" w:w="560"/>
            <w:shd w:fill="EEF2FF" w:val="clear"/>
            <w:tcMar>
              <w:top w:type="dxa" w:w="60"/>
              <w:left w:type="dxa" w:w="90"/>
              <w:bottom w:type="dxa" w:w="60"/>
              <w:right w:type="dxa" w:w="90"/>
            </w:tcMar>
          </w:tcPr>
          <w:p>
            <w:r>
              <w:rPr>
                <w:rFonts w:ascii="Calibri" w:cs="Calibri" w:eastAsia="Calibri" w:hAnsi="Calibri"/>
                <w:b/>
                <w:bCs/>
                <w:color w:val="0F172A"/>
                <w:sz w:val="19"/>
                <w:szCs w:val="19"/>
              </w:rPr>
              <w:t xml:space="preserve">7.2</w:t>
            </w:r>
          </w:p>
        </w:tc>
        <w:tc>
          <w:tcPr>
            <w:tcW w:type="dxa" w:w="3600"/>
            <w:shd w:fill="EEF2FF" w:val="clear"/>
            <w:tcMar>
              <w:top w:type="dxa" w:w="60"/>
              <w:left w:type="dxa" w:w="90"/>
              <w:bottom w:type="dxa" w:w="60"/>
              <w:right w:type="dxa" w:w="90"/>
            </w:tcMar>
          </w:tcPr>
          <w:p>
            <w:r>
              <w:rPr>
                <w:rFonts w:ascii="Calibri" w:cs="Calibri" w:eastAsia="Calibri" w:hAnsi="Calibri"/>
                <w:b w:val="false"/>
                <w:bCs w:val="false"/>
                <w:color w:val="0F172A"/>
                <w:sz w:val="19"/>
                <w:szCs w:val="19"/>
              </w:rPr>
              <w:t xml:space="preserve">A newcomer can set SIGMA up from scratch using only the README</w:t>
            </w:r>
          </w:p>
        </w:tc>
        <w:tc>
          <w:tcPr>
            <w:tcW w:type="dxa" w:w="900"/>
            <w:shd w:fill="EEF2FF" w:val="clear"/>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shd w:fill="EEF2FF" w:val="clear"/>
            <w:tcMar>
              <w:top w:type="dxa" w:w="60"/>
              <w:left w:type="dxa" w:w="90"/>
              <w:bottom w:type="dxa" w:w="60"/>
              <w:right w:type="dxa" w:w="90"/>
            </w:tcMar>
          </w:tcPr>
          <w:p>
            <w:r>
              <w:rPr>
                <w:rFonts w:ascii="Calibri" w:cs="Calibri" w:eastAsia="Calibri" w:hAnsi="Calibri"/>
                <w:b w:val="false"/>
                <w:bCs w:val="false"/>
                <w:color w:val="475569"/>
                <w:sz w:val="19"/>
                <w:szCs w:val="19"/>
              </w:rPr>
              <w:t xml:space="preserve">Step-by-step setup in simple language: create the settings file (.env) from a template, three database setup options, a connection checker to run first, and a troubleshooting table.</w:t>
            </w:r>
          </w:p>
        </w:tc>
      </w:tr>
      <w:tr>
        <w:tc>
          <w:tcPr>
            <w:tcW w:type="dxa" w:w="560"/>
            <w:tcMar>
              <w:top w:type="dxa" w:w="60"/>
              <w:left w:type="dxa" w:w="90"/>
              <w:bottom w:type="dxa" w:w="60"/>
              <w:right w:type="dxa" w:w="90"/>
            </w:tcMar>
          </w:tcPr>
          <w:p>
            <w:r>
              <w:rPr>
                <w:rFonts w:ascii="Calibri" w:cs="Calibri" w:eastAsia="Calibri" w:hAnsi="Calibri"/>
                <w:b/>
                <w:bCs/>
                <w:color w:val="0F172A"/>
                <w:sz w:val="19"/>
                <w:szCs w:val="19"/>
              </w:rPr>
              <w:t xml:space="preserve">7.3</w:t>
            </w:r>
          </w:p>
        </w:tc>
        <w:tc>
          <w:tcPr>
            <w:tcW w:type="dxa" w:w="3600"/>
            <w:tcMar>
              <w:top w:type="dxa" w:w="60"/>
              <w:left w:type="dxa" w:w="90"/>
              <w:bottom w:type="dxa" w:w="60"/>
              <w:right w:type="dxa" w:w="90"/>
            </w:tcMar>
          </w:tcPr>
          <w:p>
            <w:r>
              <w:rPr>
                <w:rFonts w:ascii="Calibri" w:cs="Calibri" w:eastAsia="Calibri" w:hAnsi="Calibri"/>
                <w:b w:val="false"/>
                <w:bCs w:val="false"/>
                <w:color w:val="0F172A"/>
                <w:sz w:val="19"/>
                <w:szCs w:val="19"/>
              </w:rPr>
              <w:t xml:space="preserve">Limitations are stated openly</w:t>
            </w:r>
          </w:p>
        </w:tc>
        <w:tc>
          <w:tcPr>
            <w:tcW w:type="dxa" w:w="900"/>
            <w:tcMar>
              <w:top w:type="dxa" w:w="60"/>
              <w:left w:type="dxa" w:w="90"/>
              <w:bottom w:type="dxa" w:w="60"/>
              <w:right w:type="dxa" w:w="90"/>
            </w:tcMar>
          </w:tcPr>
          <w:p>
            <w:pPr>
              <w:jc w:val="center"/>
            </w:pPr>
            <w:r>
              <w:rPr>
                <w:rFonts w:ascii="Calibri" w:cs="Calibri" w:eastAsia="Calibri" w:hAnsi="Calibri"/>
                <w:b/>
                <w:bCs/>
                <w:color w:val="047857"/>
                <w:sz w:val="19"/>
                <w:szCs w:val="19"/>
              </w:rPr>
              <w:t xml:space="preserve">DONE</w:t>
            </w:r>
          </w:p>
        </w:tc>
        <w:tc>
          <w:tcPr>
            <w:tcW w:type="dxa" w:w="5020"/>
            <w:tcMar>
              <w:top w:type="dxa" w:w="60"/>
              <w:left w:type="dxa" w:w="90"/>
              <w:bottom w:type="dxa" w:w="60"/>
              <w:right w:type="dxa" w:w="90"/>
            </w:tcMar>
          </w:tcPr>
          <w:p>
            <w:r>
              <w:rPr>
                <w:rFonts w:ascii="Calibri" w:cs="Calibri" w:eastAsia="Calibri" w:hAnsi="Calibri"/>
                <w:b w:val="false"/>
                <w:bCs w:val="false"/>
                <w:color w:val="475569"/>
                <w:sz w:val="19"/>
                <w:szCs w:val="19"/>
              </w:rPr>
              <w:t xml:space="preserve">README lists them: needs a reachable database, AI features need an API key, e-mails are simulated unless configured, and more.</w:t>
            </w:r>
          </w:p>
        </w:tc>
      </w:tr>
    </w:tbl>
    <w:p>
      <w:pPr>
        <w:pStyle w:val="Heading2"/>
        <w:spacing w:after="120" w:before="260"/>
      </w:pPr>
      <w:r>
        <w:rPr>
          <w:rFonts w:ascii="Calibri" w:cs="Calibri" w:eastAsia="Calibri" w:hAnsi="Calibri"/>
          <w:b/>
          <w:bCs/>
          <w:color w:val="0D9488"/>
          <w:sz w:val="25"/>
          <w:szCs w:val="25"/>
        </w:rPr>
        <w:t xml:space="preserve">Declared gaps (what is intentionally not in scope yet)</w:t>
      </w:r>
    </w:p>
    <w:p>
      <w:pPr>
        <w:spacing w:after="120"/>
      </w:pPr>
      <w:r>
        <w:rPr>
          <w:rFonts w:ascii="Calibri" w:cs="Calibri" w:eastAsia="Calibri" w:hAnsi="Calibri"/>
          <w:color w:val="475569"/>
          <w:sz w:val="21"/>
          <w:szCs w:val="21"/>
        </w:rPr>
        <w:t xml:space="preserve">–  No automated test suite — verification is via the connection checker, live data checks and demo scripts.</w:t>
      </w:r>
    </w:p>
    <w:p>
      <w:pPr>
        <w:spacing w:after="120"/>
      </w:pPr>
      <w:r>
        <w:rPr>
          <w:rFonts w:ascii="Calibri" w:cs="Calibri" w:eastAsia="Calibri" w:hAnsi="Calibri"/>
          <w:color w:val="475569"/>
          <w:sz w:val="21"/>
          <w:szCs w:val="21"/>
        </w:rPr>
        <w:t xml:space="preserve">–  E-mails are simulated unless mail settings are configured (records are still stored).</w:t>
      </w:r>
    </w:p>
    <w:p>
      <w:pPr>
        <w:spacing w:after="120"/>
      </w:pPr>
      <w:r>
        <w:rPr>
          <w:rFonts w:ascii="Calibri" w:cs="Calibri" w:eastAsia="Calibri" w:hAnsi="Calibri"/>
          <w:color w:val="475569"/>
          <w:sz w:val="21"/>
          <w:szCs w:val="21"/>
        </w:rPr>
        <w:t xml:space="preserve">–  AI summaries reset when the browser page reloads (approved actions are permanently saved).</w:t>
      </w:r>
    </w:p>
    <w:p>
      <w:pPr>
        <w:spacing w:after="260"/>
      </w:pPr>
      <w:r>
        <w:rPr>
          <w:rFonts w:ascii="Calibri" w:cs="Calibri" w:eastAsia="Calibri" w:hAnsi="Calibri"/>
          <w:color w:val="475569"/>
          <w:sz w:val="21"/>
          <w:szCs w:val="21"/>
        </w:rPr>
        <w:t xml:space="preserve">–  One shared approver role today — separate roles per team is on the roadmap.</w:t>
      </w:r>
    </w:p>
    <w:p>
      <w:pPr>
        <w:pBdr>
          <w:top w:val="single" w:color="0D9488" w:sz="8"/>
        </w:pBdr>
        <w:spacing w:before="160"/>
      </w:pPr>
      <w:r>
        <w:rPr>
          <w:rFonts w:ascii="Calibri" w:cs="Calibri" w:eastAsia="Calibri" w:hAnsi="Calibri"/>
          <w:i/>
          <w:iCs/>
          <w:color w:val="475569"/>
          <w:sz w:val="17"/>
          <w:szCs w:val="17"/>
        </w:rPr>
        <w:t xml:space="preserve">Prepared for the CT-Hackcelerate review · SIGMA · every item above can be verified in the GitHub repository or live in the application.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2026-07-15T14:25:14.268Z</dcterms:created>
  <dcterms:modified xsi:type="dcterms:W3CDTF">2026-07-15T14:25:14.269Z</dcterms:modified>
</cp:coreProperties>
</file>

<file path=docProps/custom.xml><?xml version="1.0" encoding="utf-8"?>
<Properties xmlns="http://schemas.openxmlformats.org/officeDocument/2006/custom-properties" xmlns:vt="http://schemas.openxmlformats.org/officeDocument/2006/docPropsVTypes"/>
</file>