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563EB"/>
          <w:sz w:val="52"/>
          <w:szCs w:val="52"/>
        </w:rPr>
        <w:t xml:space="preserve">SIGMA</w:t>
      </w:r>
      <w:r>
        <w:rPr>
          <w:rFonts w:ascii="Calibri" w:cs="Calibri" w:eastAsia="Calibri" w:hAnsi="Calibri"/>
          <w:color w:val="0D9488"/>
          <w:sz w:val="26"/>
          <w:szCs w:val="26"/>
        </w:rPr>
        <w:t xml:space="preserve">  ·  Seizure Intelligence &amp; Growth Management Agent</w:t>
      </w:r>
    </w:p>
    <w:p>
      <w:pPr>
        <w:spacing w:after="40"/>
      </w:pPr>
      <w:r>
        <w:rPr>
          <w:rFonts w:ascii="Calibri" w:cs="Calibri" w:eastAsia="Calibri" w:hAnsi="Calibri"/>
          <w:b/>
          <w:bCs/>
          <w:color w:val="0F172A"/>
          <w:sz w:val="32"/>
          <w:szCs w:val="32"/>
        </w:rPr>
        <w:t xml:space="preserve">Safety &amp; Compliance Note</w:t>
      </w:r>
    </w:p>
    <w:p>
      <w:pPr>
        <w:pBdr>
          <w:bottom w:val="single" w:color="2563EB" w:sz="12"/>
        </w:pBdr>
        <w:spacing w:after="200"/>
      </w:pPr>
      <w:r>
        <w:rPr>
          <w:rFonts w:ascii="Calibri" w:cs="Calibri" w:eastAsia="Calibri" w:hAnsi="Calibri"/>
          <w:i/>
          <w:iCs/>
          <w:color w:val="475569"/>
          <w:sz w:val="19"/>
          <w:szCs w:val="19"/>
        </w:rPr>
        <w:t xml:space="preserve">How SIGMA protects patient information, keeps its AI under control, and keeps a human in charge   |   Team: CT-Hackcelerate   |   Date: 15 Jul 2026</w:t>
      </w:r>
    </w:p>
    <w:p>
      <w:pPr>
        <w:spacing w:after="240"/>
      </w:pPr>
      <w:r>
        <w:rPr>
          <w:rFonts w:ascii="Calibri" w:cs="Calibri" w:eastAsia="Calibri" w:hAnsi="Calibri"/>
          <w:color w:val="475569"/>
          <w:sz w:val="21"/>
          <w:szCs w:val="21"/>
        </w:rPr>
        <w:t xml:space="preserve">SIGMA works with seizure (epilepsy) patient data and uses AI to suggest business actions. That combination demands care. This note explains, in plain language, the three layers of protection built into the product: how patient information is protected, the technical limits placed on the AI, and how a human stays in charge of everything it does.</w:t>
      </w:r>
    </w:p>
    <w:p>
      <w:pPr>
        <w:pStyle w:val="Heading1"/>
        <w:spacing w:after="130" w:before="300"/>
      </w:pPr>
      <w:r>
        <w:rPr>
          <w:rFonts w:ascii="Calibri" w:cs="Calibri" w:eastAsia="Calibri" w:hAnsi="Calibri"/>
          <w:b/>
          <w:bCs/>
          <w:color w:val="0D9488"/>
          <w:sz w:val="27"/>
          <w:szCs w:val="27"/>
        </w:rPr>
        <w:t xml:space="preserve">1. How SIGMA protects patient information</w:t>
      </w:r>
    </w:p>
    <w:p>
      <w:pPr>
        <w:spacing w:after="140"/>
      </w:pPr>
      <w:r>
        <w:rPr>
          <w:rFonts w:ascii="Calibri" w:cs="Calibri" w:eastAsia="Calibri" w:hAnsi="Calibri"/>
          <w:color w:val="475569"/>
          <w:sz w:val="21"/>
          <w:szCs w:val="21"/>
        </w:rPr>
        <w:t xml:space="preserve">“Patient information” means anything that could identify a real person — names, contact details, addresses, and their health records. SIGMA is built so that identifying a patient is not possible:</w:t>
      </w:r>
    </w:p>
    <w:p>
      <w:pPr>
        <w:pStyle w:val="ListParagraph"/>
        <w:numPr>
          <w:ilvl w:val="0"/>
          <w:numId w:val="2"/>
        </w:numPr>
        <w:spacing w:after="90"/>
      </w:pPr>
      <w:r>
        <w:rPr>
          <w:rFonts w:ascii="Calibri" w:cs="Calibri" w:eastAsia="Calibri" w:hAnsi="Calibri"/>
          <w:b/>
          <w:bCs/>
          <w:color w:val="0F172A"/>
          <w:sz w:val="21"/>
          <w:szCs w:val="21"/>
        </w:rPr>
        <w:t xml:space="preserve">No names, by design — </w:t>
      </w:r>
      <w:r>
        <w:rPr>
          <w:rFonts w:ascii="Calibri" w:cs="Calibri" w:eastAsia="Calibri" w:hAnsi="Calibri"/>
          <w:color w:val="475569"/>
          <w:sz w:val="21"/>
          <w:szCs w:val="21"/>
        </w:rPr>
        <w:t xml:space="preserve">the database contains no patient name columns at all. Every seizure patient is only an ID number (e.g. patient #106218944) — on every screen, in every filter, and in everything the AI reads or writes.</w:t>
      </w:r>
    </w:p>
    <w:p>
      <w:pPr>
        <w:pStyle w:val="ListParagraph"/>
        <w:numPr>
          <w:ilvl w:val="0"/>
          <w:numId w:val="2"/>
        </w:numPr>
        <w:spacing w:after="90"/>
      </w:pPr>
      <w:r>
        <w:rPr>
          <w:rFonts w:ascii="Calibri" w:cs="Calibri" w:eastAsia="Calibri" w:hAnsi="Calibri"/>
          <w:b/>
          <w:bCs/>
          <w:color w:val="0F172A"/>
          <w:sz w:val="21"/>
          <w:szCs w:val="21"/>
        </w:rPr>
        <w:t xml:space="preserve">Minimal personal details — </w:t>
      </w:r>
      <w:r>
        <w:rPr>
          <w:rFonts w:ascii="Calibri" w:cs="Calibri" w:eastAsia="Calibri" w:hAnsi="Calibri"/>
          <w:color w:val="475569"/>
          <w:sz w:val="21"/>
          <w:szCs w:val="21"/>
        </w:rPr>
        <w:t xml:space="preserve">the data keeps only a birth year (never a full birth date), a partial postal code (first 3 digits only), gender and state. No phone numbers, no addresses, no ID documents.</w:t>
      </w:r>
    </w:p>
    <w:p>
      <w:pPr>
        <w:pStyle w:val="ListParagraph"/>
        <w:numPr>
          <w:ilvl w:val="0"/>
          <w:numId w:val="2"/>
        </w:numPr>
        <w:spacing w:after="90"/>
      </w:pPr>
      <w:r>
        <w:rPr>
          <w:rFonts w:ascii="Calibri" w:cs="Calibri" w:eastAsia="Calibri" w:hAnsi="Calibri"/>
          <w:b/>
          <w:bCs/>
          <w:color w:val="0F172A"/>
          <w:sz w:val="21"/>
          <w:szCs w:val="21"/>
        </w:rPr>
        <w:t xml:space="preserve">Masked message addresses — </w:t>
      </w:r>
      <w:r>
        <w:rPr>
          <w:rFonts w:ascii="Calibri" w:cs="Calibri" w:eastAsia="Calibri" w:hAnsi="Calibri"/>
          <w:color w:val="475569"/>
          <w:sz w:val="21"/>
          <w:szCs w:val="21"/>
        </w:rPr>
        <w:t xml:space="preserve">any message to a patient goes to a masked system address (patient_&lt;id&gt;@notify.pharma), never a personal inbox. Unless e-mail is deliberately switched on, messages are only simulated and stored — nothing actually leaves the system.</w:t>
      </w:r>
    </w:p>
    <w:p>
      <w:pPr>
        <w:pStyle w:val="ListParagraph"/>
        <w:numPr>
          <w:ilvl w:val="0"/>
          <w:numId w:val="2"/>
        </w:numPr>
        <w:spacing w:after="90"/>
      </w:pPr>
      <w:r>
        <w:rPr>
          <w:rFonts w:ascii="Calibri" w:cs="Calibri" w:eastAsia="Calibri" w:hAnsi="Calibri"/>
          <w:b/>
          <w:bCs/>
          <w:color w:val="0F172A"/>
          <w:sz w:val="21"/>
          <w:szCs w:val="21"/>
        </w:rPr>
        <w:t xml:space="preserve">Data stays home — </w:t>
      </w:r>
      <w:r>
        <w:rPr>
          <w:rFonts w:ascii="Calibri" w:cs="Calibri" w:eastAsia="Calibri" w:hAnsi="Calibri"/>
          <w:color w:val="475569"/>
          <w:sz w:val="21"/>
          <w:szCs w:val="21"/>
        </w:rPr>
        <w:t xml:space="preserve">all patient data stays in the company's own SQL Server database. SIGMA reads it live and never copies it into files or any outside storage. Only the summary numbers already visible on screen (with patient IDs, never names) are shared with the AI service to write its explanation.</w:t>
      </w:r>
    </w:p>
    <w:p>
      <w:pPr>
        <w:pStyle w:val="ListParagraph"/>
        <w:numPr>
          <w:ilvl w:val="0"/>
          <w:numId w:val="2"/>
        </w:numPr>
        <w:spacing w:after="90"/>
      </w:pPr>
      <w:r>
        <w:rPr>
          <w:rFonts w:ascii="Calibri" w:cs="Calibri" w:eastAsia="Calibri" w:hAnsi="Calibri"/>
          <w:b/>
          <w:bCs/>
          <w:color w:val="0F172A"/>
          <w:sz w:val="21"/>
          <w:szCs w:val="21"/>
        </w:rPr>
        <w:t xml:space="preserve">No secrets in shared code — </w:t>
      </w:r>
      <w:r>
        <w:rPr>
          <w:rFonts w:ascii="Calibri" w:cs="Calibri" w:eastAsia="Calibri" w:hAnsi="Calibri"/>
          <w:color w:val="475569"/>
          <w:sz w:val="21"/>
          <w:szCs w:val="21"/>
        </w:rPr>
        <w:t xml:space="preserve">passwords, database logins and AI keys live only in a local settings file (.env) on the user's machine, which is excluded from the shared GitHub code — verified.</w:t>
      </w:r>
    </w:p>
    <w:p>
      <w:pPr>
        <w:pStyle w:val="ListParagraph"/>
        <w:numPr>
          <w:ilvl w:val="0"/>
          <w:numId w:val="2"/>
        </w:numPr>
        <w:spacing w:after="90"/>
      </w:pPr>
      <w:r>
        <w:rPr>
          <w:rFonts w:ascii="Calibri" w:cs="Calibri" w:eastAsia="Calibri" w:hAnsi="Calibri"/>
          <w:b/>
          <w:bCs/>
          <w:color w:val="0F172A"/>
          <w:sz w:val="21"/>
          <w:szCs w:val="21"/>
        </w:rPr>
        <w:t xml:space="preserve">Original records are untouchable — </w:t>
      </w:r>
      <w:r>
        <w:rPr>
          <w:rFonts w:ascii="Calibri" w:cs="Calibri" w:eastAsia="Calibri" w:hAnsi="Calibri"/>
          <w:color w:val="475569"/>
          <w:sz w:val="21"/>
          <w:szCs w:val="21"/>
        </w:rPr>
        <w:t xml:space="preserve">SIGMA never writes into the medical/claims data. Everything it saves (approvals, appointments, notifications, logs) goes into its own six separate tracking tables.</w:t>
      </w:r>
    </w:p>
    <w:p>
      <w:pPr>
        <w:spacing w:after="110"/>
      </w:pPr>
      <w:r>
        <w:rPr>
          <w:rFonts w:ascii="Calibri" w:cs="Calibri" w:eastAsia="Calibri" w:hAnsi="Calibri"/>
          <w:i/>
          <w:iCs/>
          <w:color w:val="475569"/>
          <w:sz w:val="21"/>
          <w:szCs w:val="21"/>
        </w:rPr>
        <w:t xml:space="preserve">Doctor names ARE shown — that is professional information used to plan sales visits, which is standard industry practice; it is not patient data.</w:t>
      </w:r>
    </w:p>
    <w:p>
      <w:pPr>
        <w:pStyle w:val="Heading1"/>
        <w:spacing w:after="130" w:before="300"/>
      </w:pPr>
      <w:r>
        <w:rPr>
          <w:rFonts w:ascii="Calibri" w:cs="Calibri" w:eastAsia="Calibri" w:hAnsi="Calibri"/>
          <w:b/>
          <w:bCs/>
          <w:color w:val="0D9488"/>
          <w:sz w:val="27"/>
          <w:szCs w:val="27"/>
        </w:rPr>
        <w:t xml:space="preserve">2. How the AI is kept under control (guardrails)</w:t>
      </w:r>
    </w:p>
    <w:p>
      <w:pPr>
        <w:pStyle w:val="ListParagraph"/>
        <w:numPr>
          <w:ilvl w:val="0"/>
          <w:numId w:val="2"/>
        </w:numPr>
        <w:spacing w:after="90"/>
      </w:pPr>
      <w:r>
        <w:rPr>
          <w:rFonts w:ascii="Calibri" w:cs="Calibri" w:eastAsia="Calibri" w:hAnsi="Calibri"/>
          <w:b/>
          <w:bCs/>
          <w:color w:val="0F172A"/>
          <w:sz w:val="21"/>
          <w:szCs w:val="21"/>
        </w:rPr>
        <w:t xml:space="preserve">Read-only — </w:t>
      </w:r>
      <w:r>
        <w:rPr>
          <w:rFonts w:ascii="Calibri" w:cs="Calibri" w:eastAsia="Calibri" w:hAnsi="Calibri"/>
          <w:color w:val="475569"/>
          <w:sz w:val="21"/>
          <w:szCs w:val="21"/>
        </w:rPr>
        <w:t xml:space="preserve">the AI can look at data but can never change it. Any modifying command (add, update, delete, etc.) is blocked in code before it reaches the database, and each lookup is limited to 200 rows.</w:t>
      </w:r>
    </w:p>
    <w:p>
      <w:pPr>
        <w:pStyle w:val="ListParagraph"/>
        <w:numPr>
          <w:ilvl w:val="0"/>
          <w:numId w:val="2"/>
        </w:numPr>
        <w:spacing w:after="90"/>
      </w:pPr>
      <w:r>
        <w:rPr>
          <w:rFonts w:ascii="Calibri" w:cs="Calibri" w:eastAsia="Calibri" w:hAnsi="Calibri"/>
          <w:b/>
          <w:bCs/>
          <w:color w:val="0F172A"/>
          <w:sz w:val="21"/>
          <w:szCs w:val="21"/>
        </w:rPr>
        <w:t xml:space="preserve">It cannot run away — </w:t>
      </w:r>
      <w:r>
        <w:rPr>
          <w:rFonts w:ascii="Calibri" w:cs="Calibri" w:eastAsia="Calibri" w:hAnsi="Calibri"/>
          <w:color w:val="475569"/>
          <w:sz w:val="21"/>
          <w:szCs w:val="21"/>
        </w:rPr>
        <w:t xml:space="preserve">the AI answers a question in at most 12 steps, suggests at most 5 actions per category per scan, and never queues the same suggestion twice.</w:t>
      </w:r>
    </w:p>
    <w:p>
      <w:pPr>
        <w:pStyle w:val="ListParagraph"/>
        <w:numPr>
          <w:ilvl w:val="0"/>
          <w:numId w:val="2"/>
        </w:numPr>
        <w:spacing w:after="90"/>
      </w:pPr>
      <w:r>
        <w:rPr>
          <w:rFonts w:ascii="Calibri" w:cs="Calibri" w:eastAsia="Calibri" w:hAnsi="Calibri"/>
          <w:b/>
          <w:bCs/>
          <w:color w:val="0F172A"/>
          <w:sz w:val="21"/>
          <w:szCs w:val="21"/>
        </w:rPr>
        <w:t xml:space="preserve">A fixed menu of actions — </w:t>
      </w:r>
      <w:r>
        <w:rPr>
          <w:rFonts w:ascii="Calibri" w:cs="Calibri" w:eastAsia="Calibri" w:hAnsi="Calibri"/>
          <w:color w:val="475569"/>
          <w:sz w:val="21"/>
          <w:szCs w:val="21"/>
        </w:rPr>
        <w:t xml:space="preserve">the AI can only suggest from a fixed, pre-approved list — 7 patient actions (like scheduling an appointment) and 6 business actions (like moving marketing budget). It cannot invent a new type of action.</w:t>
      </w:r>
    </w:p>
    <w:p>
      <w:pPr>
        <w:pStyle w:val="ListParagraph"/>
        <w:numPr>
          <w:ilvl w:val="0"/>
          <w:numId w:val="2"/>
        </w:numPr>
        <w:spacing w:after="90"/>
      </w:pPr>
      <w:r>
        <w:rPr>
          <w:rFonts w:ascii="Calibri" w:cs="Calibri" w:eastAsia="Calibri" w:hAnsi="Calibri"/>
          <w:b/>
          <w:bCs/>
          <w:color w:val="0F172A"/>
          <w:sz w:val="21"/>
          <w:szCs w:val="21"/>
        </w:rPr>
        <w:t xml:space="preserve">Risk levels are hard rules, not AI choices — </w:t>
      </w:r>
      <w:r>
        <w:rPr>
          <w:rFonts w:ascii="Calibri" w:cs="Calibri" w:eastAsia="Calibri" w:hAnsi="Calibri"/>
          <w:color w:val="475569"/>
          <w:sz w:val="21"/>
          <w:szCs w:val="21"/>
        </w:rPr>
        <w:t xml:space="preserve">only small, reversible tasks (reminders, appointments, claim follow-ups) may run automatically — and only while the visible “Autonomous Mode” switch is ON. Anything serious — medicine changes, medical tests, specialist referrals, budget moves — ALWAYS waits for a person. This rule is written in the code; the AI cannot override it.</w:t>
      </w:r>
    </w:p>
    <w:p>
      <w:pPr>
        <w:pStyle w:val="ListParagraph"/>
        <w:numPr>
          <w:ilvl w:val="0"/>
          <w:numId w:val="2"/>
        </w:numPr>
        <w:spacing w:after="90"/>
      </w:pPr>
      <w:r>
        <w:rPr>
          <w:rFonts w:ascii="Calibri" w:cs="Calibri" w:eastAsia="Calibri" w:hAnsi="Calibri"/>
          <w:b/>
          <w:bCs/>
          <w:color w:val="0F172A"/>
          <w:sz w:val="21"/>
          <w:szCs w:val="21"/>
        </w:rPr>
        <w:t xml:space="preserve">It takes no for an answer — </w:t>
      </w:r>
      <w:r>
        <w:rPr>
          <w:rFonts w:ascii="Calibri" w:cs="Calibri" w:eastAsia="Calibri" w:hAnsi="Calibri"/>
          <w:color w:val="475569"/>
          <w:sz w:val="21"/>
          <w:szCs w:val="21"/>
        </w:rPr>
        <w:t xml:space="preserve">if the business rejects a suggestion, the same suggestion is blocked for 30 days and the AI is told to propose a different approach.</w:t>
      </w:r>
    </w:p>
    <w:p>
      <w:pPr>
        <w:pStyle w:val="ListParagraph"/>
        <w:numPr>
          <w:ilvl w:val="0"/>
          <w:numId w:val="2"/>
        </w:numPr>
        <w:spacing w:after="90"/>
      </w:pPr>
      <w:r>
        <w:rPr>
          <w:rFonts w:ascii="Calibri" w:cs="Calibri" w:eastAsia="Calibri" w:hAnsi="Calibri"/>
          <w:b/>
          <w:bCs/>
          <w:color w:val="0F172A"/>
          <w:sz w:val="21"/>
          <w:szCs w:val="21"/>
        </w:rPr>
        <w:t xml:space="preserve">It shows its work — </w:t>
      </w:r>
      <w:r>
        <w:rPr>
          <w:rFonts w:ascii="Calibri" w:cs="Calibri" w:eastAsia="Calibri" w:hAnsi="Calibri"/>
          <w:color w:val="475569"/>
          <w:sz w:val="21"/>
          <w:szCs w:val="21"/>
        </w:rPr>
        <w:t xml:space="preserve">every answer from the chat agent includes the exact database query it ran, so a reviewer can check the numbers. Medical codes are always translated into plain English.</w:t>
      </w:r>
    </w:p>
    <w:p>
      <w:pPr>
        <w:pStyle w:val="ListParagraph"/>
        <w:numPr>
          <w:ilvl w:val="0"/>
          <w:numId w:val="2"/>
        </w:numPr>
        <w:spacing w:after="90"/>
      </w:pPr>
      <w:r>
        <w:rPr>
          <w:rFonts w:ascii="Calibri" w:cs="Calibri" w:eastAsia="Calibri" w:hAnsi="Calibri"/>
          <w:b/>
          <w:bCs/>
          <w:color w:val="0F172A"/>
          <w:sz w:val="21"/>
          <w:szCs w:val="21"/>
        </w:rPr>
        <w:t xml:space="preserve">Fails safely — </w:t>
      </w:r>
      <w:r>
        <w:rPr>
          <w:rFonts w:ascii="Calibri" w:cs="Calibri" w:eastAsia="Calibri" w:hAnsi="Calibri"/>
          <w:color w:val="475569"/>
          <w:sz w:val="21"/>
          <w:szCs w:val="21"/>
        </w:rPr>
        <w:t xml:space="preserve">if the AI service is down or the key is wrong, the dashboards keep working and a clear message explains what happened.</w:t>
      </w:r>
    </w:p>
    <w:p>
      <w:pPr>
        <w:pStyle w:val="Heading1"/>
        <w:spacing w:after="130" w:before="300"/>
      </w:pPr>
      <w:r>
        <w:rPr>
          <w:rFonts w:ascii="Calibri" w:cs="Calibri" w:eastAsia="Calibri" w:hAnsi="Calibri"/>
          <w:b/>
          <w:bCs/>
          <w:color w:val="0D9488"/>
          <w:sz w:val="27"/>
          <w:szCs w:val="27"/>
        </w:rPr>
        <w:t xml:space="preserve">3. How a human stays in charge</w:t>
      </w:r>
    </w:p>
    <w:p>
      <w:pPr>
        <w:pStyle w:val="ListParagraph"/>
        <w:numPr>
          <w:ilvl w:val="0"/>
          <w:numId w:val="2"/>
        </w:numPr>
        <w:spacing w:after="90"/>
      </w:pPr>
      <w:r>
        <w:rPr>
          <w:rFonts w:ascii="Calibri" w:cs="Calibri" w:eastAsia="Calibri" w:hAnsi="Calibri"/>
          <w:b/>
          <w:bCs/>
          <w:color w:val="0F172A"/>
          <w:sz w:val="21"/>
          <w:szCs w:val="21"/>
        </w:rPr>
        <w:t xml:space="preserve">Suggest → Approve → Execute — </w:t>
      </w:r>
      <w:r>
        <w:rPr>
          <w:rFonts w:ascii="Calibri" w:cs="Calibri" w:eastAsia="Calibri" w:hAnsi="Calibri"/>
          <w:color w:val="475569"/>
          <w:sz w:val="21"/>
          <w:szCs w:val="21"/>
        </w:rPr>
        <w:t xml:space="preserve">the AI can only SUGGEST. Every suggestion waits in the Action Center with its reason, expected impact and estimated value. Only a human clicking “Approve &amp; Execute” makes it happen; “Reject” dismisses it. Nothing serious ever runs on its own.</w:t>
      </w:r>
    </w:p>
    <w:p>
      <w:pPr>
        <w:pStyle w:val="ListParagraph"/>
        <w:numPr>
          <w:ilvl w:val="0"/>
          <w:numId w:val="2"/>
        </w:numPr>
        <w:spacing w:after="90"/>
      </w:pPr>
      <w:r>
        <w:rPr>
          <w:rFonts w:ascii="Calibri" w:cs="Calibri" w:eastAsia="Calibri" w:hAnsi="Calibri"/>
          <w:b/>
          <w:bCs/>
          <w:color w:val="0F172A"/>
          <w:sz w:val="21"/>
          <w:szCs w:val="21"/>
        </w:rPr>
        <w:t xml:space="preserve">A visible off-switch — </w:t>
      </w:r>
      <w:r>
        <w:rPr>
          <w:rFonts w:ascii="Calibri" w:cs="Calibri" w:eastAsia="Calibri" w:hAnsi="Calibri"/>
          <w:color w:val="475569"/>
          <w:sz w:val="21"/>
          <w:szCs w:val="21"/>
        </w:rPr>
        <w:t xml:space="preserve">Autonomous Mode is a sidebar toggle the operator can turn off at any moment, and a status strip on every page shows what the agent has found and what is waiting for approval.</w:t>
      </w:r>
    </w:p>
    <w:p>
      <w:pPr>
        <w:pStyle w:val="ListParagraph"/>
        <w:numPr>
          <w:ilvl w:val="0"/>
          <w:numId w:val="2"/>
        </w:numPr>
        <w:spacing w:after="90"/>
      </w:pPr>
      <w:r>
        <w:rPr>
          <w:rFonts w:ascii="Calibri" w:cs="Calibri" w:eastAsia="Calibri" w:hAnsi="Calibri"/>
          <w:b/>
          <w:bCs/>
          <w:color w:val="0F172A"/>
          <w:sz w:val="21"/>
          <w:szCs w:val="21"/>
        </w:rPr>
        <w:t xml:space="preserve">Everything on record — </w:t>
      </w:r>
      <w:r>
        <w:rPr>
          <w:rFonts w:ascii="Calibri" w:cs="Calibri" w:eastAsia="Calibri" w:hAnsi="Calibri"/>
          <w:color w:val="475569"/>
          <w:sz w:val="21"/>
          <w:szCs w:val="21"/>
        </w:rPr>
        <w:t xml:space="preserve">every suggestion, approval, rejection and execution is written to an audit log — who acted (the human or the AI), what they did, and when. All times use one world-standard clock (UTC) and are labeled as such, so the timeline is consistent for everyone.</w:t>
      </w:r>
    </w:p>
    <w:p>
      <w:pPr>
        <w:pStyle w:val="ListParagraph"/>
        <w:numPr>
          <w:ilvl w:val="0"/>
          <w:numId w:val="2"/>
        </w:numPr>
        <w:spacing w:after="90"/>
      </w:pPr>
      <w:r>
        <w:rPr>
          <w:rFonts w:ascii="Calibri" w:cs="Calibri" w:eastAsia="Calibri" w:hAnsi="Calibri"/>
          <w:b/>
          <w:bCs/>
          <w:color w:val="0F172A"/>
          <w:sz w:val="21"/>
          <w:szCs w:val="21"/>
        </w:rPr>
        <w:t xml:space="preserve">Measurable accountability — </w:t>
      </w:r>
      <w:r>
        <w:rPr>
          <w:rFonts w:ascii="Calibri" w:cs="Calibri" w:eastAsia="Calibri" w:hAnsi="Calibri"/>
          <w:color w:val="475569"/>
          <w:sz w:val="21"/>
          <w:szCs w:val="21"/>
        </w:rPr>
        <w:t xml:space="preserve">the Action Center scoreboard shows the value captured, value pending, and how often the business approves the AI's ideas — so the AI's usefulness is reviewed with numbers, not impressions.</w:t>
      </w:r>
    </w:p>
    <w:p>
      <w:pPr>
        <w:pStyle w:val="Heading1"/>
        <w:spacing w:after="130" w:before="300"/>
      </w:pPr>
      <w:r>
        <w:rPr>
          <w:rFonts w:ascii="Calibri" w:cs="Calibri" w:eastAsia="Calibri" w:hAnsi="Calibri"/>
          <w:b/>
          <w:bCs/>
          <w:color w:val="0D9488"/>
          <w:sz w:val="27"/>
          <w:szCs w:val="27"/>
        </w:rPr>
        <w:t xml:space="preserve">4. Honest limitations (declared)</w:t>
      </w:r>
    </w:p>
    <w:p>
      <w:pPr>
        <w:pStyle w:val="ListParagraph"/>
        <w:numPr>
          <w:ilvl w:val="0"/>
          <w:numId w:val="2"/>
        </w:numPr>
        <w:spacing w:after="90"/>
      </w:pPr>
      <w:r>
        <w:rPr>
          <w:rFonts w:ascii="Calibri" w:cs="Calibri" w:eastAsia="Calibri" w:hAnsi="Calibri"/>
          <w:color w:val="475569"/>
          <w:sz w:val="21"/>
          <w:szCs w:val="21"/>
        </w:rPr>
        <w:t xml:space="preserve">Today there is one shared approver role; separate roles per team (medical vs commercial) is on the roadmap.</w:t>
      </w:r>
    </w:p>
    <w:p>
      <w:pPr>
        <w:pStyle w:val="ListParagraph"/>
        <w:numPr>
          <w:ilvl w:val="0"/>
          <w:numId w:val="2"/>
        </w:numPr>
        <w:spacing w:after="90"/>
      </w:pPr>
      <w:r>
        <w:rPr>
          <w:rFonts w:ascii="Calibri" w:cs="Calibri" w:eastAsia="Calibri" w:hAnsi="Calibri"/>
          <w:color w:val="475569"/>
          <w:sz w:val="21"/>
          <w:szCs w:val="21"/>
        </w:rPr>
        <w:t xml:space="preserve">E-mails are simulated unless mail settings are configured.</w:t>
      </w:r>
    </w:p>
    <w:p>
      <w:pPr>
        <w:pStyle w:val="ListParagraph"/>
        <w:numPr>
          <w:ilvl w:val="0"/>
          <w:numId w:val="2"/>
        </w:numPr>
        <w:spacing w:after="90"/>
      </w:pPr>
      <w:r>
        <w:rPr>
          <w:rFonts w:ascii="Calibri" w:cs="Calibri" w:eastAsia="Calibri" w:hAnsi="Calibri"/>
          <w:color w:val="475569"/>
          <w:sz w:val="21"/>
          <w:szCs w:val="21"/>
        </w:rPr>
        <w:t xml:space="preserve">SIGMA is a hackathon prototype built on de-identified data. Using it in production would additionally require a formal privacy/regulatory assessment (e.g. HIPAA/GDPR), a data agreement covering the AI service, security testing and organisational sign-off.</w:t>
      </w:r>
    </w:p>
    <w:p>
      <w:pPr>
        <w:pBdr>
          <w:top w:val="single" w:color="0D9488" w:sz="8"/>
        </w:pBdr>
        <w:spacing w:before="200"/>
      </w:pPr>
      <w:r>
        <w:rPr>
          <w:rFonts w:ascii="Calibri" w:cs="Calibri" w:eastAsia="Calibri" w:hAnsi="Calibri"/>
          <w:i/>
          <w:iCs/>
          <w:color w:val="475569"/>
          <w:sz w:val="17"/>
          <w:szCs w:val="17"/>
        </w:rPr>
        <w:t xml:space="preserve">Prepared for the CT-Hackcelerate review · SIGMA · every control described here can be verified in the GitHub repository or live in the application.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7556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2026-07-15T14:25:14.898Z</dcterms:created>
  <dcterms:modified xsi:type="dcterms:W3CDTF">2026-07-15T14:25:14.899Z</dcterms:modified>
</cp:coreProperties>
</file>

<file path=docProps/custom.xml><?xml version="1.0" encoding="utf-8"?>
<Properties xmlns="http://schemas.openxmlformats.org/officeDocument/2006/custom-properties" xmlns:vt="http://schemas.openxmlformats.org/officeDocument/2006/docPropsVTypes"/>
</file>