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07A5" w14:textId="7281DB3E" w:rsidR="00043AF0" w:rsidRPr="00043AF0" w:rsidRDefault="00043AF0" w:rsidP="00043AF0">
      <w:pPr>
        <w:jc w:val="both"/>
        <w:rPr>
          <w:rFonts w:ascii="Times New Roman" w:hAnsi="Times New Roman" w:cs="Times New Roman"/>
          <w:sz w:val="44"/>
          <w:szCs w:val="44"/>
        </w:rPr>
      </w:pPr>
      <w:r w:rsidRPr="00043AF0">
        <w:rPr>
          <w:rFonts w:ascii="Times New Roman" w:hAnsi="Times New Roman" w:cs="Times New Roman"/>
          <w:sz w:val="44"/>
          <w:szCs w:val="44"/>
        </w:rPr>
        <w:t>Random Forest-Based Stock Direction Prediction on Indian Nifty 50: A Technical Indicator Approach</w:t>
      </w:r>
      <w:r w:rsidRPr="00043AF0">
        <w:rPr>
          <w:rFonts w:ascii="Times New Roman" w:hAnsi="Times New Roman" w:cs="Times New Roman"/>
          <w:sz w:val="44"/>
          <w:szCs w:val="44"/>
        </w:rPr>
        <w:br/>
      </w:r>
    </w:p>
    <w:p w14:paraId="7691D444" w14:textId="77777777" w:rsidR="00043AF0" w:rsidRDefault="00043AF0" w:rsidP="00043AF0">
      <w:pPr>
        <w:jc w:val="both"/>
        <w:rPr>
          <w:rFonts w:ascii="Times New Roman" w:hAnsi="Times New Roman" w:cs="Times New Roman"/>
          <w:b/>
          <w:bCs/>
        </w:rPr>
        <w:sectPr w:rsidR="00043AF0">
          <w:pgSz w:w="12240" w:h="15840"/>
          <w:pgMar w:top="1440" w:right="1440" w:bottom="1440" w:left="1440" w:header="720" w:footer="720" w:gutter="0"/>
          <w:cols w:space="720"/>
          <w:docGrid w:linePitch="360"/>
        </w:sectPr>
      </w:pPr>
    </w:p>
    <w:p w14:paraId="10E1AE53"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Abstract</w:t>
      </w:r>
      <w:r w:rsidRPr="00043AF0">
        <w:rPr>
          <w:rFonts w:ascii="Times New Roman" w:hAnsi="Times New Roman" w:cs="Times New Roman"/>
          <w:sz w:val="20"/>
          <w:szCs w:val="20"/>
        </w:rPr>
        <w:t>—</w:t>
      </w:r>
      <w:r w:rsidRPr="00043AF0">
        <w:rPr>
          <w:rFonts w:ascii="Times New Roman" w:hAnsi="Times New Roman" w:cs="Times New Roman"/>
          <w:b/>
          <w:bCs/>
          <w:sz w:val="20"/>
          <w:szCs w:val="20"/>
        </w:rPr>
        <w:t>Stock price prediction remains a challenging problem in financial forecasting due to market complexity and the Efficient Market Hypothesis. This paper presents a Random Forest-based approach for predicting 60-day stock price direction using 14 technical indicators derived from OHLCV data. The model is evaluated on 49 Nifty 50 stocks spanning 1999-2025, comprising 284,370 data points. Using rigorous temporal validation with a holdout test set of 42,630 predictions, the Random Forest classifier achieves ROC-AUC of 0.5254, demonstrating statistically significant predictive power over random baseline (0.50) and momentum strategies. Feature importance analysis reveals that moving averages contribute 47% of total importance, confirming trend-following as the dominant signal in technical analysis. Sector-level analysis shows heterogeneous performance, with IT stocks achieving 56.72% accuracy while Metals sector exhibits 43.48% accuracy. The results confirm that technical indicators provide modest but consistent predictive capability while highlighting the limitations of purely technical approaches during complex market dynamics. This work demonstrates the importance of proper temporal validation and honest reporting in financial machine learning applications.</w:t>
      </w:r>
    </w:p>
    <w:p w14:paraId="6222A480" w14:textId="70A495F2" w:rsidR="00043AF0" w:rsidRPr="00043AF0" w:rsidRDefault="00043AF0" w:rsidP="00043AF0">
      <w:pPr>
        <w:jc w:val="both"/>
        <w:rPr>
          <w:rFonts w:ascii="Times New Roman" w:hAnsi="Times New Roman" w:cs="Times New Roman"/>
          <w:b/>
          <w:bCs/>
          <w:i/>
          <w:iCs/>
          <w:sz w:val="20"/>
          <w:szCs w:val="20"/>
        </w:rPr>
      </w:pPr>
      <w:r w:rsidRPr="00043AF0">
        <w:rPr>
          <w:rFonts w:ascii="Times New Roman" w:hAnsi="Times New Roman" w:cs="Times New Roman"/>
          <w:b/>
          <w:bCs/>
          <w:sz w:val="20"/>
          <w:szCs w:val="20"/>
        </w:rPr>
        <w:t>Index Terms</w:t>
      </w:r>
      <w:r w:rsidRPr="00043AF0">
        <w:rPr>
          <w:rFonts w:ascii="Times New Roman" w:hAnsi="Times New Roman" w:cs="Times New Roman"/>
          <w:sz w:val="20"/>
          <w:szCs w:val="20"/>
        </w:rPr>
        <w:t>—</w:t>
      </w:r>
      <w:r w:rsidRPr="00043AF0">
        <w:rPr>
          <w:rFonts w:ascii="Times New Roman" w:hAnsi="Times New Roman" w:cs="Times New Roman"/>
          <w:b/>
          <w:bCs/>
          <w:i/>
          <w:iCs/>
          <w:sz w:val="20"/>
          <w:szCs w:val="20"/>
        </w:rPr>
        <w:t>Stock prediction, Random Forest, Technical indicators, Machine learning, Nifty 50, Financial forecasting</w:t>
      </w:r>
    </w:p>
    <w:p w14:paraId="660DA3FB" w14:textId="77777777" w:rsidR="00043AF0" w:rsidRPr="00043AF0" w:rsidRDefault="00043AF0" w:rsidP="00C92874">
      <w:pPr>
        <w:jc w:val="center"/>
        <w:rPr>
          <w:rFonts w:ascii="Times New Roman" w:hAnsi="Times New Roman" w:cs="Times New Roman"/>
          <w:sz w:val="20"/>
          <w:szCs w:val="20"/>
        </w:rPr>
      </w:pPr>
      <w:r w:rsidRPr="00043AF0">
        <w:rPr>
          <w:rFonts w:ascii="Times New Roman" w:hAnsi="Times New Roman" w:cs="Times New Roman"/>
          <w:sz w:val="20"/>
          <w:szCs w:val="20"/>
        </w:rPr>
        <w:t xml:space="preserve">I. </w:t>
      </w:r>
      <w:r w:rsidRPr="00043AF0">
        <w:rPr>
          <w:rFonts w:ascii="Times New Roman" w:hAnsi="Times New Roman" w:cs="Times New Roman"/>
          <w:sz w:val="22"/>
          <w:szCs w:val="22"/>
        </w:rPr>
        <w:t>I</w:t>
      </w:r>
      <w:r w:rsidRPr="00043AF0">
        <w:rPr>
          <w:rFonts w:ascii="Times New Roman" w:hAnsi="Times New Roman" w:cs="Times New Roman"/>
          <w:sz w:val="20"/>
          <w:szCs w:val="20"/>
        </w:rPr>
        <w:t>NTRODUCTION</w:t>
      </w:r>
    </w:p>
    <w:p w14:paraId="3458BA1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A. Motivation</w:t>
      </w:r>
    </w:p>
    <w:p w14:paraId="4AE7B90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Stock market prediction has attracted significant research interest due to its practical applications in portfolio management, risk assessment, and algorithmic trading. The Efficient Market Hypothesis (EMH) suggests that asset prices reflect all available information, making prediction theoretically impossible [1]. However, empirical studies have shown evidence of weak-form market inefficiency, where technical indicators derived from historical prices may provide limited predictive signals [2]. The growing availability of computational resources and advancement in machine learning algorithms has renewed interest in data-driven approaches to financial forecasting.</w:t>
      </w:r>
    </w:p>
    <w:p w14:paraId="36B235F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Traditional approaches to stock prediction face several critical challenges. First, data leakage through improper temporal handling can lead to optimistic performance estimates that fail in real-world deployment [3]. Second, models often overfit to single test periods without demonstrating temporal robustness across different market regimes. Third, class imbalance in directional prediction—where bull markets produce predominantly upward movements—can result in models that exploit distributional bias rather than learning genuine patterns [4]. Fourth, the lack of rigorous baseline comparisons makes it difficult to assess whether machine learning provides meaningful improvement over simple heuristics.</w:t>
      </w:r>
    </w:p>
    <w:p w14:paraId="6DCDC25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While numerous studies have applied machine learning to stock prediction in developed markets, research on Indian markets, particularly the Nifty 50 index, remains relatively limited [5]. Furthermore, most existing studies report performance on single holdout sets without comprehensive analysis of feature importance, sector-level heterogeneity, or failure modes. There is a need for transparent, reproducible research that honestly reports both capabilities and limitations of technical-indicator-based prediction.</w:t>
      </w:r>
    </w:p>
    <w:p w14:paraId="09A63E0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This paper addresses these gaps through a systematic study of Random Forest classification for 60-day stock direction prediction on Indian Nifty 50 stocks. The contributions include: (1) rigorous temporal validation with proper train-validation-test splits preventing data leakage, (2) comprehensive evaluation on 49 stocks spanning 27 years (1999-2025), (3) detailed feature importance analysis revealing the relative predictive power of different technical indicators, (4) sector-level performance breakdown identifying market segments where prediction is more reliable, and (5) honest reporting of modest performance with explicit discussion of limitations.</w:t>
      </w:r>
    </w:p>
    <w:p w14:paraId="49A58C7F"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B. Paper Organization</w:t>
      </w:r>
    </w:p>
    <w:p w14:paraId="30C60E85" w14:textId="66BC686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The remainder of this paper is organized as follows. Section II reviews related work in stock prediction and ensemble methods. Section III describes the methodology including data processing, feature engineering, and model architecture. Section IV presents the experimental setup and evaluation </w:t>
      </w:r>
      <w:r w:rsidRPr="00043AF0">
        <w:rPr>
          <w:rFonts w:ascii="Times New Roman" w:hAnsi="Times New Roman" w:cs="Times New Roman"/>
          <w:sz w:val="20"/>
          <w:szCs w:val="20"/>
        </w:rPr>
        <w:lastRenderedPageBreak/>
        <w:t>protocol. Section V discusses results and analysis. Section VI concludes with limitations and future research directions.</w:t>
      </w:r>
    </w:p>
    <w:p w14:paraId="3927CBB9" w14:textId="77777777" w:rsidR="00043AF0" w:rsidRPr="00043AF0" w:rsidRDefault="00043AF0" w:rsidP="00C92874">
      <w:pPr>
        <w:jc w:val="center"/>
        <w:rPr>
          <w:rFonts w:ascii="Times New Roman" w:hAnsi="Times New Roman" w:cs="Times New Roman"/>
          <w:sz w:val="20"/>
          <w:szCs w:val="20"/>
        </w:rPr>
      </w:pPr>
      <w:r w:rsidRPr="00043AF0">
        <w:rPr>
          <w:rFonts w:ascii="Times New Roman" w:hAnsi="Times New Roman" w:cs="Times New Roman"/>
          <w:sz w:val="20"/>
          <w:szCs w:val="20"/>
        </w:rPr>
        <w:t xml:space="preserve">II. </w:t>
      </w:r>
      <w:r w:rsidRPr="00043AF0">
        <w:rPr>
          <w:rFonts w:ascii="Times New Roman" w:hAnsi="Times New Roman" w:cs="Times New Roman"/>
          <w:sz w:val="22"/>
          <w:szCs w:val="22"/>
        </w:rPr>
        <w:t>R</w:t>
      </w:r>
      <w:r w:rsidRPr="00043AF0">
        <w:rPr>
          <w:rFonts w:ascii="Times New Roman" w:hAnsi="Times New Roman" w:cs="Times New Roman"/>
          <w:sz w:val="20"/>
          <w:szCs w:val="20"/>
        </w:rPr>
        <w:t xml:space="preserve">ELATED </w:t>
      </w:r>
      <w:r w:rsidRPr="00043AF0">
        <w:rPr>
          <w:rFonts w:ascii="Times New Roman" w:hAnsi="Times New Roman" w:cs="Times New Roman"/>
          <w:sz w:val="22"/>
          <w:szCs w:val="22"/>
        </w:rPr>
        <w:t>W</w:t>
      </w:r>
      <w:r w:rsidRPr="00043AF0">
        <w:rPr>
          <w:rFonts w:ascii="Times New Roman" w:hAnsi="Times New Roman" w:cs="Times New Roman"/>
          <w:sz w:val="20"/>
          <w:szCs w:val="20"/>
        </w:rPr>
        <w:t>ORK</w:t>
      </w:r>
    </w:p>
    <w:p w14:paraId="46BF5604"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 Stock Price Prediction</w:t>
      </w:r>
    </w:p>
    <w:p w14:paraId="3553C12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Early stock prediction relied on statistical methods such as ARIMA, GARCH, and econometric models [6]. These approaches assume linear relationships and stationary time series, limiting their applicability to complex market dynamics characterized by non-linearity, regime changes, and structural breaks.</w:t>
      </w:r>
    </w:p>
    <w:p w14:paraId="6926C08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machine learning era introduced non-parametric modeling capabilities. Support Vector Machines (SVM), Artificial Neural Networks (ANN), and ensemble methods have been applied with varying success [7][8]. Recent deep learning approaches including Long Short-Term Memory (LSTM) networks, Convolutional Neural Networks (CNN), and Transformers show promise for capturing temporal dependencies but require extensive data and computational resources [9].</w:t>
      </w:r>
    </w:p>
    <w:p w14:paraId="0EB3D09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A systematic review by Zulqarnain et al. [1] examined recent advances in stock market prediction, highlighting the diversity of approaches and the importance of proper evaluation methodologies. Ahmed et al. [2] investigated the effectiveness of various machine learning algorithms across different market conditions, finding that no single algorithm consistently outperforms others across all scenarios.</w:t>
      </w:r>
    </w:p>
    <w:p w14:paraId="2355B50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Studies on emerging markets demonstrate unique characteristics compared to developed markets. Khan et al. [4] applied machine learning to BRICS economies, finding that model performance varies significantly across different economic contexts. Their work emphasizes the importance of market-specific validation rather than assuming generalizability from developed market studies.</w:t>
      </w:r>
    </w:p>
    <w:p w14:paraId="2A0F942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problem of lookahead bias—using information not available at prediction time—remains a critical concern. Recent work by Anderson et al. [7] specifically tested for lookahead bias in forecasting models, demonstrating how seemingly impressive results can disappear when proper temporal constraints are enforced. This underscores the importance of rigorous temporal validation in our methodology.</w:t>
      </w:r>
    </w:p>
    <w:p w14:paraId="32B3939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Unlike prior work focusing predominantly on short-term predictions (1-5 days), this paper investigates a medium-term horizon (60 days), which is more relevant for position trading and portfolio rebalancing strategies while introducing different modeling challenges due to increased uncertainty over longer time horizons.</w:t>
      </w:r>
    </w:p>
    <w:p w14:paraId="2E326951"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B. Ensemble Methods in Finance</w:t>
      </w:r>
    </w:p>
    <w:p w14:paraId="5EFF114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Random Forest (RF), introduced by </w:t>
      </w:r>
      <w:proofErr w:type="spellStart"/>
      <w:r w:rsidRPr="00043AF0">
        <w:rPr>
          <w:rFonts w:ascii="Times New Roman" w:hAnsi="Times New Roman" w:cs="Times New Roman"/>
          <w:sz w:val="20"/>
          <w:szCs w:val="20"/>
        </w:rPr>
        <w:t>Breiman</w:t>
      </w:r>
      <w:proofErr w:type="spellEnd"/>
      <w:r w:rsidRPr="00043AF0">
        <w:rPr>
          <w:rFonts w:ascii="Times New Roman" w:hAnsi="Times New Roman" w:cs="Times New Roman"/>
          <w:sz w:val="20"/>
          <w:szCs w:val="20"/>
        </w:rPr>
        <w:t xml:space="preserve"> [10], has proven effective in financial applications due to its ability to handle non-linear relationships, provide feature importance rankings, and resist overfitting through ensemble averaging. The algorithm constructs multiple decision trees on bootstrap samples and aggregates their predictions through majority voting (classification) or averaging (regression).</w:t>
      </w:r>
    </w:p>
    <w:p w14:paraId="7A45D9B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Applications of Random Forest in finance include credit risk assessment, fraud detection, and trading signal generation [6]. Patel et al. [8] demonstrated competitive performance of RF against gradient boosting methods while offering superior interpretability through feature importance analysis. This interpretability is particularly valuable in finance, where understanding model decisions is crucial for risk management and regulatory compliance.</w:t>
      </w:r>
    </w:p>
    <w:p w14:paraId="64BEC31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Alternative ensemble methods such as </w:t>
      </w:r>
      <w:proofErr w:type="spellStart"/>
      <w:r w:rsidRPr="00043AF0">
        <w:rPr>
          <w:rFonts w:ascii="Times New Roman" w:hAnsi="Times New Roman" w:cs="Times New Roman"/>
          <w:sz w:val="20"/>
          <w:szCs w:val="20"/>
        </w:rPr>
        <w:t>XGBoost</w:t>
      </w:r>
      <w:proofErr w:type="spellEnd"/>
      <w:r w:rsidRPr="00043AF0">
        <w:rPr>
          <w:rFonts w:ascii="Times New Roman" w:hAnsi="Times New Roman" w:cs="Times New Roman"/>
          <w:sz w:val="20"/>
          <w:szCs w:val="20"/>
        </w:rPr>
        <w:t xml:space="preserve"> and </w:t>
      </w:r>
      <w:proofErr w:type="spellStart"/>
      <w:r w:rsidRPr="00043AF0">
        <w:rPr>
          <w:rFonts w:ascii="Times New Roman" w:hAnsi="Times New Roman" w:cs="Times New Roman"/>
          <w:sz w:val="20"/>
          <w:szCs w:val="20"/>
        </w:rPr>
        <w:t>LightGBM</w:t>
      </w:r>
      <w:proofErr w:type="spellEnd"/>
      <w:r w:rsidRPr="00043AF0">
        <w:rPr>
          <w:rFonts w:ascii="Times New Roman" w:hAnsi="Times New Roman" w:cs="Times New Roman"/>
          <w:sz w:val="20"/>
          <w:szCs w:val="20"/>
        </w:rPr>
        <w:t xml:space="preserve"> have shown strong performance in recent competitions and research studies. However, the choice between Random Forest and gradient boosting variants involves trade-offs between performance, training time, and hyperparameter sensitivity. For this study, Random Forest provides a balanced approach suitable for demonstrating fundamental principles of ensemble learning in stock prediction.</w:t>
      </w:r>
    </w:p>
    <w:p w14:paraId="054EE90E"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C. Technical Indicators</w:t>
      </w:r>
    </w:p>
    <w:p w14:paraId="3F4F6B3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Moving averages (MA), Relative Strength Index (RSI), and volatility measures form the foundation of technical analysis [11]. These indicators encode different aspects of market behavior: trend (moving averages), momentum (RSI, rate of change), and risk (volatility, Bollinger Bands). The rationale is that historical price patterns contain information about future price movements, either through continuation (trend-following) or mean reversion.</w:t>
      </w:r>
    </w:p>
    <w:p w14:paraId="64D01DF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Empirical studies on technical indicator effectiveness show mixed results. Some studies find weak predictive power consistent with weak-form market efficiency [1], while others identify periods where technical trading rules generate excess returns [12]. Performance appears to depend on market conditions, with technical indicators showing stronger signals during trending markets compared to ranging or highly volatile regimes.</w:t>
      </w:r>
    </w:p>
    <w:p w14:paraId="1F1ADE3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Li et al. [5] specifically examined the role of technical versus fundamental indicators in stock price prediction, finding that both contribute complementary information. Technical </w:t>
      </w:r>
      <w:r w:rsidRPr="00043AF0">
        <w:rPr>
          <w:rFonts w:ascii="Times New Roman" w:hAnsi="Times New Roman" w:cs="Times New Roman"/>
          <w:sz w:val="20"/>
          <w:szCs w:val="20"/>
        </w:rPr>
        <w:lastRenderedPageBreak/>
        <w:t>indicators capture short-to-medium term price dynamics, while fundamental indicators reflect long-term value. This paper focuses exclusively on technical indicators to isolate their predictive contribution and establish a baseline for future multi-modal approaches.</w:t>
      </w:r>
    </w:p>
    <w:p w14:paraId="64CC522D"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D. Evaluation Methodologies</w:t>
      </w:r>
    </w:p>
    <w:p w14:paraId="0D7972E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Proper evaluation is critical in time-series forecasting to avoid overoptimistic performance estimates. Time-based splitting—where training data precedes test data chronologically—is essential to prevent data leakage [3]. Random shuffling of time-series data violates temporal causality and leads to inflated performance metrics.</w:t>
      </w:r>
    </w:p>
    <w:p w14:paraId="0739A04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Walk-forward validation, also called rolling window analysis, provides robust performance estimates by evaluating models across multiple time periods [13]. However, this approach is computationally intensive, requiring retraining for each window. This paper employs a single temporal split for computational efficiency while acknowledging walk-forward validation as important future work to establish temporal robustness.</w:t>
      </w:r>
    </w:p>
    <w:p w14:paraId="48C6522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choice of evaluation metrics also affects interpretation. ROC-AUC is robust to class imbalance and measures the model's ability to rank positive cases higher than negative cases [14]. This makes it more appropriate than accuracy for imbalanced financial prediction tasks, where naive strategies (e.g., "always predict UP") can achieve misleading accuracy scores.</w:t>
      </w:r>
    </w:p>
    <w:p w14:paraId="1B0A632D"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III. METHODOLOGY</w:t>
      </w:r>
    </w:p>
    <w:p w14:paraId="788B63BA"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 Problem Formulation</w:t>
      </w:r>
    </w:p>
    <w:p w14:paraId="167DC11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Stock direction prediction is formulated as binary classification. Given historical data up to time </w:t>
      </w:r>
      <w:r w:rsidRPr="00043AF0">
        <w:rPr>
          <w:rFonts w:ascii="Times New Roman" w:hAnsi="Times New Roman" w:cs="Times New Roman"/>
          <w:i/>
          <w:iCs/>
          <w:sz w:val="20"/>
          <w:szCs w:val="20"/>
        </w:rPr>
        <w:t>t</w:t>
      </w:r>
      <w:r w:rsidRPr="00043AF0">
        <w:rPr>
          <w:rFonts w:ascii="Times New Roman" w:hAnsi="Times New Roman" w:cs="Times New Roman"/>
          <w:sz w:val="20"/>
          <w:szCs w:val="20"/>
        </w:rPr>
        <w:t>, the objective is to predict:</w:t>
      </w:r>
    </w:p>
    <w:p w14:paraId="7166812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y_t</w:t>
      </w:r>
      <w:proofErr w:type="spellEnd"/>
      <w:r w:rsidRPr="00043AF0">
        <w:rPr>
          <w:rFonts w:ascii="Times New Roman" w:hAnsi="Times New Roman" w:cs="Times New Roman"/>
          <w:sz w:val="20"/>
          <w:szCs w:val="20"/>
        </w:rPr>
        <w:t xml:space="preserve"> = \begin{cases} 1, &amp; \</w:t>
      </w:r>
      <w:proofErr w:type="gramStart"/>
      <w:r w:rsidRPr="00043AF0">
        <w:rPr>
          <w:rFonts w:ascii="Times New Roman" w:hAnsi="Times New Roman" w:cs="Times New Roman"/>
          <w:sz w:val="20"/>
          <w:szCs w:val="20"/>
        </w:rPr>
        <w:t>text{if }</w:t>
      </w:r>
      <w:proofErr w:type="gramEnd"/>
      <w:r w:rsidRPr="00043AF0">
        <w:rPr>
          <w:rFonts w:ascii="Times New Roman" w:hAnsi="Times New Roman" w:cs="Times New Roman"/>
          <w:sz w:val="20"/>
          <w:szCs w:val="20"/>
        </w:rPr>
        <w:t xml:space="preserve"> P_{</w:t>
      </w:r>
      <w:proofErr w:type="spellStart"/>
      <w:r w:rsidRPr="00043AF0">
        <w:rPr>
          <w:rFonts w:ascii="Times New Roman" w:hAnsi="Times New Roman" w:cs="Times New Roman"/>
          <w:sz w:val="20"/>
          <w:szCs w:val="20"/>
        </w:rPr>
        <w:t>t+h</w:t>
      </w:r>
      <w:proofErr w:type="spellEnd"/>
      <w:r w:rsidRPr="00043AF0">
        <w:rPr>
          <w:rFonts w:ascii="Times New Roman" w:hAnsi="Times New Roman" w:cs="Times New Roman"/>
          <w:sz w:val="20"/>
          <w:szCs w:val="20"/>
        </w:rPr>
        <w:t xml:space="preserve">} &gt; </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xml:space="preserve"> \</w:t>
      </w:r>
      <w:proofErr w:type="gramStart"/>
      <w:r w:rsidRPr="00043AF0">
        <w:rPr>
          <w:rFonts w:ascii="Times New Roman" w:hAnsi="Times New Roman" w:cs="Times New Roman"/>
          <w:sz w:val="20"/>
          <w:szCs w:val="20"/>
        </w:rPr>
        <w:t>text{ (</w:t>
      </w:r>
      <w:proofErr w:type="gramEnd"/>
      <w:r w:rsidRPr="00043AF0">
        <w:rPr>
          <w:rFonts w:ascii="Times New Roman" w:hAnsi="Times New Roman" w:cs="Times New Roman"/>
          <w:sz w:val="20"/>
          <w:szCs w:val="20"/>
        </w:rPr>
        <w:t>price increases)} \ 0, &amp; \</w:t>
      </w:r>
      <w:proofErr w:type="gramStart"/>
      <w:r w:rsidRPr="00043AF0">
        <w:rPr>
          <w:rFonts w:ascii="Times New Roman" w:hAnsi="Times New Roman" w:cs="Times New Roman"/>
          <w:sz w:val="20"/>
          <w:szCs w:val="20"/>
        </w:rPr>
        <w:t>text{if }</w:t>
      </w:r>
      <w:proofErr w:type="gramEnd"/>
      <w:r w:rsidRPr="00043AF0">
        <w:rPr>
          <w:rFonts w:ascii="Times New Roman" w:hAnsi="Times New Roman" w:cs="Times New Roman"/>
          <w:sz w:val="20"/>
          <w:szCs w:val="20"/>
        </w:rPr>
        <w:t xml:space="preserve"> P_{</w:t>
      </w:r>
      <w:proofErr w:type="spellStart"/>
      <w:r w:rsidRPr="00043AF0">
        <w:rPr>
          <w:rFonts w:ascii="Times New Roman" w:hAnsi="Times New Roman" w:cs="Times New Roman"/>
          <w:sz w:val="20"/>
          <w:szCs w:val="20"/>
        </w:rPr>
        <w:t>t+h</w:t>
      </w:r>
      <w:proofErr w:type="spellEnd"/>
      <w:r w:rsidRPr="00043AF0">
        <w:rPr>
          <w:rFonts w:ascii="Times New Roman" w:hAnsi="Times New Roman" w:cs="Times New Roman"/>
          <w:sz w:val="20"/>
          <w:szCs w:val="20"/>
        </w:rPr>
        <w:t>} \</w:t>
      </w:r>
      <w:proofErr w:type="spellStart"/>
      <w:r w:rsidRPr="00043AF0">
        <w:rPr>
          <w:rFonts w:ascii="Times New Roman" w:hAnsi="Times New Roman" w:cs="Times New Roman"/>
          <w:sz w:val="20"/>
          <w:szCs w:val="20"/>
        </w:rPr>
        <w:t>leq</w:t>
      </w:r>
      <w:proofErr w:type="spellEnd"/>
      <w:r w:rsidRPr="00043AF0">
        <w:rPr>
          <w:rFonts w:ascii="Times New Roman" w:hAnsi="Times New Roman" w:cs="Times New Roman"/>
          <w:sz w:val="20"/>
          <w:szCs w:val="20"/>
        </w:rPr>
        <w:t xml:space="preserve"> </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xml:space="preserve"> \</w:t>
      </w:r>
      <w:proofErr w:type="gramStart"/>
      <w:r w:rsidRPr="00043AF0">
        <w:rPr>
          <w:rFonts w:ascii="Times New Roman" w:hAnsi="Times New Roman" w:cs="Times New Roman"/>
          <w:sz w:val="20"/>
          <w:szCs w:val="20"/>
        </w:rPr>
        <w:t>text{ (</w:t>
      </w:r>
      <w:proofErr w:type="gramEnd"/>
      <w:r w:rsidRPr="00043AF0">
        <w:rPr>
          <w:rFonts w:ascii="Times New Roman" w:hAnsi="Times New Roman" w:cs="Times New Roman"/>
          <w:sz w:val="20"/>
          <w:szCs w:val="20"/>
        </w:rPr>
        <w:t>price decreases)} \end{cases}$$</w:t>
      </w:r>
    </w:p>
    <w:p w14:paraId="047491A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where $</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xml:space="preserve">$ represents the closing price at time </w:t>
      </w:r>
      <w:r w:rsidRPr="00043AF0">
        <w:rPr>
          <w:rFonts w:ascii="Times New Roman" w:hAnsi="Times New Roman" w:cs="Times New Roman"/>
          <w:i/>
          <w:iCs/>
          <w:sz w:val="20"/>
          <w:szCs w:val="20"/>
        </w:rPr>
        <w:t>t</w:t>
      </w:r>
      <w:r w:rsidRPr="00043AF0">
        <w:rPr>
          <w:rFonts w:ascii="Times New Roman" w:hAnsi="Times New Roman" w:cs="Times New Roman"/>
          <w:sz w:val="20"/>
          <w:szCs w:val="20"/>
        </w:rPr>
        <w:t xml:space="preserve">, </w:t>
      </w:r>
      <w:r w:rsidRPr="00043AF0">
        <w:rPr>
          <w:rFonts w:ascii="Times New Roman" w:hAnsi="Times New Roman" w:cs="Times New Roman"/>
          <w:i/>
          <w:iCs/>
          <w:sz w:val="20"/>
          <w:szCs w:val="20"/>
        </w:rPr>
        <w:t>h</w:t>
      </w:r>
      <w:r w:rsidRPr="00043AF0">
        <w:rPr>
          <w:rFonts w:ascii="Times New Roman" w:hAnsi="Times New Roman" w:cs="Times New Roman"/>
          <w:sz w:val="20"/>
          <w:szCs w:val="20"/>
        </w:rPr>
        <w:t xml:space="preserve"> is the prediction horizon (60 trading days ≈ 3 calendar months), and $</w:t>
      </w:r>
      <w:proofErr w:type="spellStart"/>
      <w:r w:rsidRPr="00043AF0">
        <w:rPr>
          <w:rFonts w:ascii="Times New Roman" w:hAnsi="Times New Roman" w:cs="Times New Roman"/>
          <w:sz w:val="20"/>
          <w:szCs w:val="20"/>
        </w:rPr>
        <w:t>y_t</w:t>
      </w:r>
      <w:proofErr w:type="spellEnd"/>
      <w:r w:rsidRPr="00043AF0">
        <w:rPr>
          <w:rFonts w:ascii="Times New Roman" w:hAnsi="Times New Roman" w:cs="Times New Roman"/>
          <w:sz w:val="20"/>
          <w:szCs w:val="20"/>
        </w:rPr>
        <w:t xml:space="preserve"> \in {0, </w:t>
      </w:r>
      <w:proofErr w:type="gramStart"/>
      <w:r w:rsidRPr="00043AF0">
        <w:rPr>
          <w:rFonts w:ascii="Times New Roman" w:hAnsi="Times New Roman" w:cs="Times New Roman"/>
          <w:sz w:val="20"/>
          <w:szCs w:val="20"/>
        </w:rPr>
        <w:t>1}$</w:t>
      </w:r>
      <w:proofErr w:type="gramEnd"/>
      <w:r w:rsidRPr="00043AF0">
        <w:rPr>
          <w:rFonts w:ascii="Times New Roman" w:hAnsi="Times New Roman" w:cs="Times New Roman"/>
          <w:sz w:val="20"/>
          <w:szCs w:val="20"/>
        </w:rPr>
        <w:t xml:space="preserve"> is the binary target label.</w:t>
      </w:r>
    </w:p>
    <w:p w14:paraId="070566C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The 60-day horizon balances two competing factors: shorter horizons (1-10 days) may be dominated by noise and market microstructure effects, while longer horizons (&gt;120 days) introduce excessive uncertainty from fundamental changes and macroeconomic shifts. The 60-day window aligns with </w:t>
      </w:r>
      <w:r w:rsidRPr="00043AF0">
        <w:rPr>
          <w:rFonts w:ascii="Times New Roman" w:hAnsi="Times New Roman" w:cs="Times New Roman"/>
          <w:sz w:val="20"/>
          <w:szCs w:val="20"/>
        </w:rPr>
        <w:t>quarterly portfolio rebalancing practices in institutional investing.</w:t>
      </w:r>
    </w:p>
    <w:p w14:paraId="08862CDF"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B. Dataset Description</w:t>
      </w:r>
    </w:p>
    <w:p w14:paraId="1E741B3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dataset comprises daily OHLCV (Open, High, Low, Close, Volume) data for 49 Nifty 50 constituent stocks from January 1, 1999 to November 4, 2025. The Nifty 50 represents the top 50 companies by market capitalization listed on the National Stock Exchange of India, covering major sectors including IT, Financials, Energy, FMCG, Pharmaceuticals, and Metals.</w:t>
      </w:r>
    </w:p>
    <w:p w14:paraId="6745BDC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TABLE I: DATASET STATISTICS</w:t>
      </w:r>
    </w:p>
    <w:tbl>
      <w:tblPr>
        <w:tblStyle w:val="TableGrid"/>
        <w:tblW w:w="0" w:type="auto"/>
        <w:tblLook w:val="04A0" w:firstRow="1" w:lastRow="0" w:firstColumn="1" w:lastColumn="0" w:noHBand="0" w:noVBand="1"/>
      </w:tblPr>
      <w:tblGrid>
        <w:gridCol w:w="2511"/>
        <w:gridCol w:w="2512"/>
      </w:tblGrid>
      <w:tr w:rsidR="00CD5D7E" w14:paraId="2F175766" w14:textId="77777777" w:rsidTr="00CD5D7E">
        <w:trPr>
          <w:trHeight w:val="473"/>
        </w:trPr>
        <w:tc>
          <w:tcPr>
            <w:tcW w:w="2511" w:type="dxa"/>
          </w:tcPr>
          <w:p w14:paraId="10E15CB6" w14:textId="47120050" w:rsidR="00CD5D7E" w:rsidRPr="00CD5D7E" w:rsidRDefault="00CD5D7E" w:rsidP="00043AF0">
            <w:pPr>
              <w:jc w:val="both"/>
              <w:rPr>
                <w:rFonts w:ascii="Times New Roman" w:hAnsi="Times New Roman" w:cs="Times New Roman"/>
                <w:b/>
                <w:sz w:val="20"/>
                <w:szCs w:val="20"/>
              </w:rPr>
            </w:pPr>
            <w:r>
              <w:rPr>
                <w:rFonts w:ascii="Times New Roman" w:hAnsi="Times New Roman" w:cs="Times New Roman"/>
                <w:b/>
                <w:sz w:val="20"/>
                <w:szCs w:val="20"/>
              </w:rPr>
              <w:t>Metric</w:t>
            </w:r>
          </w:p>
        </w:tc>
        <w:tc>
          <w:tcPr>
            <w:tcW w:w="2512" w:type="dxa"/>
          </w:tcPr>
          <w:p w14:paraId="30AE704F" w14:textId="698FBBDB" w:rsidR="00CD5D7E" w:rsidRPr="00CD5D7E" w:rsidRDefault="00CD5D7E" w:rsidP="00043AF0">
            <w:pPr>
              <w:jc w:val="both"/>
              <w:rPr>
                <w:rFonts w:ascii="Times New Roman" w:hAnsi="Times New Roman" w:cs="Times New Roman"/>
                <w:b/>
                <w:sz w:val="20"/>
                <w:szCs w:val="20"/>
              </w:rPr>
            </w:pPr>
            <w:r w:rsidRPr="00CD5D7E">
              <w:rPr>
                <w:rFonts w:ascii="Times New Roman" w:hAnsi="Times New Roman" w:cs="Times New Roman"/>
                <w:b/>
                <w:sz w:val="20"/>
                <w:szCs w:val="20"/>
              </w:rPr>
              <w:t>Value</w:t>
            </w:r>
          </w:p>
        </w:tc>
      </w:tr>
      <w:tr w:rsidR="00CD5D7E" w14:paraId="7C6DB58E" w14:textId="77777777" w:rsidTr="00CD5D7E">
        <w:trPr>
          <w:trHeight w:val="424"/>
        </w:trPr>
        <w:tc>
          <w:tcPr>
            <w:tcW w:w="2511" w:type="dxa"/>
          </w:tcPr>
          <w:p w14:paraId="2D80AF95" w14:textId="0F6DEFC6"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Number of Stocks</w:t>
            </w:r>
          </w:p>
        </w:tc>
        <w:tc>
          <w:tcPr>
            <w:tcW w:w="2512" w:type="dxa"/>
          </w:tcPr>
          <w:p w14:paraId="3CDCC491" w14:textId="1B76BA0D"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49</w:t>
            </w:r>
          </w:p>
        </w:tc>
      </w:tr>
      <w:tr w:rsidR="00CD5D7E" w14:paraId="3B5CE2C0" w14:textId="77777777" w:rsidTr="00CD5D7E">
        <w:trPr>
          <w:trHeight w:val="416"/>
        </w:trPr>
        <w:tc>
          <w:tcPr>
            <w:tcW w:w="2511" w:type="dxa"/>
          </w:tcPr>
          <w:p w14:paraId="17DB0259" w14:textId="739B7BE7"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Data Range</w:t>
            </w:r>
          </w:p>
        </w:tc>
        <w:tc>
          <w:tcPr>
            <w:tcW w:w="2512" w:type="dxa"/>
          </w:tcPr>
          <w:p w14:paraId="47F5CA40" w14:textId="41E98A96"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1999-01-01 to 2025-11-04</w:t>
            </w:r>
          </w:p>
        </w:tc>
      </w:tr>
      <w:tr w:rsidR="00CD5D7E" w14:paraId="4529CD94" w14:textId="77777777" w:rsidTr="00CD5D7E">
        <w:trPr>
          <w:trHeight w:val="407"/>
        </w:trPr>
        <w:tc>
          <w:tcPr>
            <w:tcW w:w="2511" w:type="dxa"/>
          </w:tcPr>
          <w:p w14:paraId="7573AFFF" w14:textId="60FA9F44"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Total Observations</w:t>
            </w:r>
          </w:p>
        </w:tc>
        <w:tc>
          <w:tcPr>
            <w:tcW w:w="2512" w:type="dxa"/>
          </w:tcPr>
          <w:p w14:paraId="7233B814" w14:textId="60BFF3FC"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284,370</w:t>
            </w:r>
          </w:p>
        </w:tc>
      </w:tr>
      <w:tr w:rsidR="00CD5D7E" w14:paraId="53294038" w14:textId="77777777" w:rsidTr="00CD5D7E">
        <w:trPr>
          <w:trHeight w:val="413"/>
        </w:trPr>
        <w:tc>
          <w:tcPr>
            <w:tcW w:w="2511" w:type="dxa"/>
          </w:tcPr>
          <w:p w14:paraId="6FC07969" w14:textId="404E1E0E"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Features per Sample</w:t>
            </w:r>
          </w:p>
        </w:tc>
        <w:tc>
          <w:tcPr>
            <w:tcW w:w="2512" w:type="dxa"/>
          </w:tcPr>
          <w:p w14:paraId="45FE9865" w14:textId="7982004A"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14</w:t>
            </w:r>
          </w:p>
        </w:tc>
      </w:tr>
      <w:tr w:rsidR="00CD5D7E" w14:paraId="559E61F6" w14:textId="77777777" w:rsidTr="00CD5D7E">
        <w:trPr>
          <w:trHeight w:val="420"/>
        </w:trPr>
        <w:tc>
          <w:tcPr>
            <w:tcW w:w="2511" w:type="dxa"/>
          </w:tcPr>
          <w:p w14:paraId="709182E7" w14:textId="4CCDC8CF"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Target Distribution (Test)</w:t>
            </w:r>
          </w:p>
        </w:tc>
        <w:tc>
          <w:tcPr>
            <w:tcW w:w="2512" w:type="dxa"/>
          </w:tcPr>
          <w:p w14:paraId="1957BA9A" w14:textId="661EE563"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65.3</w:t>
            </w:r>
            <w:r w:rsidR="00296121">
              <w:rPr>
                <w:rFonts w:ascii="Times New Roman" w:hAnsi="Times New Roman" w:cs="Times New Roman"/>
                <w:sz w:val="20"/>
                <w:szCs w:val="20"/>
              </w:rPr>
              <w:t>% UP, 34.7% DOWN</w:t>
            </w:r>
          </w:p>
        </w:tc>
      </w:tr>
      <w:tr w:rsidR="00CD5D7E" w14:paraId="742111D2" w14:textId="77777777" w:rsidTr="00CD5D7E">
        <w:trPr>
          <w:trHeight w:val="412"/>
        </w:trPr>
        <w:tc>
          <w:tcPr>
            <w:tcW w:w="2511" w:type="dxa"/>
          </w:tcPr>
          <w:p w14:paraId="3821072A" w14:textId="19954CA8"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Training Samples</w:t>
            </w:r>
          </w:p>
        </w:tc>
        <w:tc>
          <w:tcPr>
            <w:tcW w:w="2512" w:type="dxa"/>
          </w:tcPr>
          <w:p w14:paraId="661CA634" w14:textId="3C9CECD2" w:rsidR="00CD5D7E" w:rsidRDefault="00296121" w:rsidP="00043AF0">
            <w:pPr>
              <w:jc w:val="both"/>
              <w:rPr>
                <w:rFonts w:ascii="Times New Roman" w:hAnsi="Times New Roman" w:cs="Times New Roman"/>
                <w:sz w:val="20"/>
                <w:szCs w:val="20"/>
              </w:rPr>
            </w:pPr>
            <w:r>
              <w:rPr>
                <w:rFonts w:ascii="Times New Roman" w:hAnsi="Times New Roman" w:cs="Times New Roman"/>
                <w:sz w:val="20"/>
                <w:szCs w:val="20"/>
              </w:rPr>
              <w:t>187,343</w:t>
            </w:r>
          </w:p>
        </w:tc>
      </w:tr>
      <w:tr w:rsidR="00CD5D7E" w14:paraId="054DF546" w14:textId="77777777" w:rsidTr="00CD5D7E">
        <w:trPr>
          <w:trHeight w:val="355"/>
        </w:trPr>
        <w:tc>
          <w:tcPr>
            <w:tcW w:w="2511" w:type="dxa"/>
          </w:tcPr>
          <w:p w14:paraId="33B5ABF0" w14:textId="5F3CAD8B"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Validation Samples</w:t>
            </w:r>
          </w:p>
        </w:tc>
        <w:tc>
          <w:tcPr>
            <w:tcW w:w="2512" w:type="dxa"/>
          </w:tcPr>
          <w:p w14:paraId="5B91D966" w14:textId="79DACB99" w:rsidR="00CD5D7E" w:rsidRDefault="00296121" w:rsidP="00043AF0">
            <w:pPr>
              <w:jc w:val="both"/>
              <w:rPr>
                <w:rFonts w:ascii="Times New Roman" w:hAnsi="Times New Roman" w:cs="Times New Roman"/>
                <w:sz w:val="20"/>
                <w:szCs w:val="20"/>
              </w:rPr>
            </w:pPr>
            <w:r>
              <w:rPr>
                <w:rFonts w:ascii="Times New Roman" w:hAnsi="Times New Roman" w:cs="Times New Roman"/>
                <w:sz w:val="20"/>
                <w:szCs w:val="20"/>
              </w:rPr>
              <w:t>42,679</w:t>
            </w:r>
          </w:p>
        </w:tc>
      </w:tr>
      <w:tr w:rsidR="00CD5D7E" w14:paraId="74AE03F9" w14:textId="77777777" w:rsidTr="00CD5D7E">
        <w:trPr>
          <w:trHeight w:val="307"/>
        </w:trPr>
        <w:tc>
          <w:tcPr>
            <w:tcW w:w="2511" w:type="dxa"/>
          </w:tcPr>
          <w:p w14:paraId="1AC74264" w14:textId="45B44942" w:rsidR="00CD5D7E" w:rsidRDefault="00CD5D7E" w:rsidP="00043AF0">
            <w:pPr>
              <w:jc w:val="both"/>
              <w:rPr>
                <w:rFonts w:ascii="Times New Roman" w:hAnsi="Times New Roman" w:cs="Times New Roman"/>
                <w:sz w:val="20"/>
                <w:szCs w:val="20"/>
              </w:rPr>
            </w:pPr>
            <w:r>
              <w:rPr>
                <w:rFonts w:ascii="Times New Roman" w:hAnsi="Times New Roman" w:cs="Times New Roman"/>
                <w:sz w:val="20"/>
                <w:szCs w:val="20"/>
              </w:rPr>
              <w:t>Test Samples</w:t>
            </w:r>
          </w:p>
        </w:tc>
        <w:tc>
          <w:tcPr>
            <w:tcW w:w="2512" w:type="dxa"/>
          </w:tcPr>
          <w:p w14:paraId="694AC680" w14:textId="4A261AFC" w:rsidR="00CD5D7E" w:rsidRDefault="00296121" w:rsidP="00043AF0">
            <w:pPr>
              <w:jc w:val="both"/>
              <w:rPr>
                <w:rFonts w:ascii="Times New Roman" w:hAnsi="Times New Roman" w:cs="Times New Roman"/>
                <w:sz w:val="20"/>
                <w:szCs w:val="20"/>
              </w:rPr>
            </w:pPr>
            <w:r>
              <w:rPr>
                <w:rFonts w:ascii="Times New Roman" w:hAnsi="Times New Roman" w:cs="Times New Roman"/>
                <w:sz w:val="20"/>
                <w:szCs w:val="20"/>
              </w:rPr>
              <w:t>42,630</w:t>
            </w:r>
          </w:p>
        </w:tc>
      </w:tr>
    </w:tbl>
    <w:p w14:paraId="05B05B1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One stock from the original Nifty 50 was excluded due to delisting during the study period. Data quality checks revealed 0.8% missing values in OHLCV fields, which were removed rather than imputed to maintain data integrity. The resulting dataset provides a comprehensive view of Indian equity market behavior across multiple business cycles, including the 2008 global financial crisis, 2020 COVID-19 pandemic, and various regional economic events.</w:t>
      </w:r>
    </w:p>
    <w:p w14:paraId="59A34E4E"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C. Feature Engineering</w:t>
      </w:r>
    </w:p>
    <w:p w14:paraId="68FFF51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Fourteen technical indicators are engineered from raw OHLCV data, grouped into four categories: returns, trend, volatility, and momentum. All features are calculated using only historical data to prevent lookahead bias.</w:t>
      </w:r>
    </w:p>
    <w:p w14:paraId="3E69EBF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TABLE II: FEATURE DEFINITIONS</w:t>
      </w:r>
    </w:p>
    <w:tbl>
      <w:tblPr>
        <w:tblStyle w:val="TableGrid"/>
        <w:tblpPr w:leftFromText="180" w:rightFromText="180" w:horzAnchor="margin" w:tblpY="-420"/>
        <w:tblW w:w="5105" w:type="dxa"/>
        <w:tblLayout w:type="fixed"/>
        <w:tblLook w:val="04A0" w:firstRow="1" w:lastRow="0" w:firstColumn="1" w:lastColumn="0" w:noHBand="0" w:noVBand="1"/>
      </w:tblPr>
      <w:tblGrid>
        <w:gridCol w:w="782"/>
        <w:gridCol w:w="1031"/>
        <w:gridCol w:w="1758"/>
        <w:gridCol w:w="635"/>
        <w:gridCol w:w="899"/>
      </w:tblGrid>
      <w:tr w:rsidR="00FA4A69" w:rsidRPr="00043AF0" w14:paraId="6EC632E9" w14:textId="77777777" w:rsidTr="00C8361E">
        <w:trPr>
          <w:trHeight w:val="490"/>
        </w:trPr>
        <w:tc>
          <w:tcPr>
            <w:tcW w:w="782" w:type="dxa"/>
            <w:hideMark/>
          </w:tcPr>
          <w:p w14:paraId="008D30B4" w14:textId="77777777" w:rsidR="00043AF0" w:rsidRPr="00043AF0" w:rsidRDefault="00043AF0" w:rsidP="00FA4A69">
            <w:pPr>
              <w:jc w:val="both"/>
              <w:rPr>
                <w:rFonts w:ascii="Times New Roman" w:hAnsi="Times New Roman" w:cs="Times New Roman"/>
                <w:b/>
                <w:bCs/>
                <w:sz w:val="20"/>
                <w:szCs w:val="20"/>
              </w:rPr>
            </w:pPr>
            <w:r w:rsidRPr="00043AF0">
              <w:rPr>
                <w:rFonts w:ascii="Times New Roman" w:hAnsi="Times New Roman" w:cs="Times New Roman"/>
                <w:b/>
                <w:bCs/>
                <w:sz w:val="20"/>
                <w:szCs w:val="20"/>
              </w:rPr>
              <w:lastRenderedPageBreak/>
              <w:t>Category</w:t>
            </w:r>
          </w:p>
        </w:tc>
        <w:tc>
          <w:tcPr>
            <w:tcW w:w="1031" w:type="dxa"/>
            <w:hideMark/>
          </w:tcPr>
          <w:p w14:paraId="43922D0D" w14:textId="77777777" w:rsidR="00043AF0" w:rsidRPr="00043AF0" w:rsidRDefault="00043AF0" w:rsidP="00FA4A69">
            <w:pPr>
              <w:jc w:val="both"/>
              <w:rPr>
                <w:rFonts w:ascii="Times New Roman" w:hAnsi="Times New Roman" w:cs="Times New Roman"/>
                <w:b/>
                <w:bCs/>
                <w:sz w:val="20"/>
                <w:szCs w:val="20"/>
              </w:rPr>
            </w:pPr>
            <w:r w:rsidRPr="00043AF0">
              <w:rPr>
                <w:rFonts w:ascii="Times New Roman" w:hAnsi="Times New Roman" w:cs="Times New Roman"/>
                <w:b/>
                <w:bCs/>
                <w:sz w:val="20"/>
                <w:szCs w:val="20"/>
              </w:rPr>
              <w:t>Feature</w:t>
            </w:r>
          </w:p>
        </w:tc>
        <w:tc>
          <w:tcPr>
            <w:tcW w:w="1758" w:type="dxa"/>
            <w:hideMark/>
          </w:tcPr>
          <w:p w14:paraId="59D72663" w14:textId="77777777" w:rsidR="00043AF0" w:rsidRPr="00043AF0" w:rsidRDefault="00043AF0" w:rsidP="00FA4A69">
            <w:pPr>
              <w:jc w:val="both"/>
              <w:rPr>
                <w:rFonts w:ascii="Times New Roman" w:hAnsi="Times New Roman" w:cs="Times New Roman"/>
                <w:b/>
                <w:bCs/>
                <w:sz w:val="20"/>
                <w:szCs w:val="20"/>
              </w:rPr>
            </w:pPr>
            <w:r w:rsidRPr="00043AF0">
              <w:rPr>
                <w:rFonts w:ascii="Times New Roman" w:hAnsi="Times New Roman" w:cs="Times New Roman"/>
                <w:b/>
                <w:bCs/>
                <w:sz w:val="20"/>
                <w:szCs w:val="20"/>
              </w:rPr>
              <w:t>Formula</w:t>
            </w:r>
          </w:p>
        </w:tc>
        <w:tc>
          <w:tcPr>
            <w:tcW w:w="635" w:type="dxa"/>
            <w:hideMark/>
          </w:tcPr>
          <w:p w14:paraId="2DE88107" w14:textId="77777777" w:rsidR="00043AF0" w:rsidRPr="00043AF0" w:rsidRDefault="00043AF0" w:rsidP="00FA4A69">
            <w:pPr>
              <w:jc w:val="both"/>
              <w:rPr>
                <w:rFonts w:ascii="Times New Roman" w:hAnsi="Times New Roman" w:cs="Times New Roman"/>
                <w:b/>
                <w:bCs/>
                <w:sz w:val="20"/>
                <w:szCs w:val="20"/>
              </w:rPr>
            </w:pPr>
            <w:r w:rsidRPr="00043AF0">
              <w:rPr>
                <w:rFonts w:ascii="Times New Roman" w:hAnsi="Times New Roman" w:cs="Times New Roman"/>
                <w:b/>
                <w:bCs/>
                <w:sz w:val="20"/>
                <w:szCs w:val="20"/>
              </w:rPr>
              <w:t>Window</w:t>
            </w:r>
          </w:p>
        </w:tc>
        <w:tc>
          <w:tcPr>
            <w:tcW w:w="899" w:type="dxa"/>
            <w:hideMark/>
          </w:tcPr>
          <w:p w14:paraId="4BAAB3F2" w14:textId="77777777" w:rsidR="00043AF0" w:rsidRPr="00043AF0" w:rsidRDefault="00043AF0" w:rsidP="00FA4A69">
            <w:pPr>
              <w:jc w:val="both"/>
              <w:rPr>
                <w:rFonts w:ascii="Times New Roman" w:hAnsi="Times New Roman" w:cs="Times New Roman"/>
                <w:b/>
                <w:bCs/>
                <w:sz w:val="20"/>
                <w:szCs w:val="20"/>
              </w:rPr>
            </w:pPr>
            <w:r w:rsidRPr="00043AF0">
              <w:rPr>
                <w:rFonts w:ascii="Times New Roman" w:hAnsi="Times New Roman" w:cs="Times New Roman"/>
                <w:b/>
                <w:bCs/>
                <w:sz w:val="20"/>
                <w:szCs w:val="20"/>
              </w:rPr>
              <w:t>Interpretation</w:t>
            </w:r>
          </w:p>
        </w:tc>
      </w:tr>
      <w:tr w:rsidR="00FA4A69" w:rsidRPr="00043AF0" w14:paraId="444123A8" w14:textId="77777777" w:rsidTr="00C8361E">
        <w:trPr>
          <w:trHeight w:val="490"/>
        </w:trPr>
        <w:tc>
          <w:tcPr>
            <w:tcW w:w="782" w:type="dxa"/>
            <w:hideMark/>
          </w:tcPr>
          <w:p w14:paraId="449C1958"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Returns</w:t>
            </w:r>
          </w:p>
        </w:tc>
        <w:tc>
          <w:tcPr>
            <w:tcW w:w="1031" w:type="dxa"/>
            <w:hideMark/>
          </w:tcPr>
          <w:p w14:paraId="338512D2"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return_1d</w:t>
            </w:r>
          </w:p>
        </w:tc>
        <w:tc>
          <w:tcPr>
            <w:tcW w:w="1758" w:type="dxa"/>
            <w:hideMark/>
          </w:tcPr>
          <w:p w14:paraId="132FD191"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xml:space="preserve"> - P_{t-1})/P_{t-1}$</w:t>
            </w:r>
          </w:p>
        </w:tc>
        <w:tc>
          <w:tcPr>
            <w:tcW w:w="635" w:type="dxa"/>
            <w:hideMark/>
          </w:tcPr>
          <w:p w14:paraId="2C8761E6"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1 day</w:t>
            </w:r>
          </w:p>
        </w:tc>
        <w:tc>
          <w:tcPr>
            <w:tcW w:w="899" w:type="dxa"/>
            <w:hideMark/>
          </w:tcPr>
          <w:p w14:paraId="60C36D33"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Short-term momentum</w:t>
            </w:r>
          </w:p>
        </w:tc>
      </w:tr>
      <w:tr w:rsidR="00FA4A69" w:rsidRPr="00043AF0" w14:paraId="1E4BC9C2" w14:textId="77777777" w:rsidTr="00C8361E">
        <w:trPr>
          <w:trHeight w:val="490"/>
        </w:trPr>
        <w:tc>
          <w:tcPr>
            <w:tcW w:w="782" w:type="dxa"/>
            <w:hideMark/>
          </w:tcPr>
          <w:p w14:paraId="1201AD9D"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Returns</w:t>
            </w:r>
          </w:p>
        </w:tc>
        <w:tc>
          <w:tcPr>
            <w:tcW w:w="1031" w:type="dxa"/>
            <w:hideMark/>
          </w:tcPr>
          <w:p w14:paraId="656E21BF"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return_5d</w:t>
            </w:r>
          </w:p>
        </w:tc>
        <w:tc>
          <w:tcPr>
            <w:tcW w:w="1758" w:type="dxa"/>
            <w:hideMark/>
          </w:tcPr>
          <w:p w14:paraId="4D1181B0"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xml:space="preserve"> - P_{t-5})/P_{t-5}$</w:t>
            </w:r>
          </w:p>
        </w:tc>
        <w:tc>
          <w:tcPr>
            <w:tcW w:w="635" w:type="dxa"/>
            <w:hideMark/>
          </w:tcPr>
          <w:p w14:paraId="33A92CF5"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5 days</w:t>
            </w:r>
          </w:p>
        </w:tc>
        <w:tc>
          <w:tcPr>
            <w:tcW w:w="899" w:type="dxa"/>
            <w:hideMark/>
          </w:tcPr>
          <w:p w14:paraId="7C2E7BAE"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Weekly momentum</w:t>
            </w:r>
          </w:p>
        </w:tc>
      </w:tr>
      <w:tr w:rsidR="00FA4A69" w:rsidRPr="00043AF0" w14:paraId="0E98F6A5" w14:textId="77777777" w:rsidTr="00C8361E">
        <w:trPr>
          <w:trHeight w:val="502"/>
        </w:trPr>
        <w:tc>
          <w:tcPr>
            <w:tcW w:w="782" w:type="dxa"/>
            <w:hideMark/>
          </w:tcPr>
          <w:p w14:paraId="5C87E194"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Returns</w:t>
            </w:r>
          </w:p>
        </w:tc>
        <w:tc>
          <w:tcPr>
            <w:tcW w:w="1031" w:type="dxa"/>
            <w:hideMark/>
          </w:tcPr>
          <w:p w14:paraId="63E5DD41"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return_20d</w:t>
            </w:r>
          </w:p>
        </w:tc>
        <w:tc>
          <w:tcPr>
            <w:tcW w:w="1758" w:type="dxa"/>
            <w:hideMark/>
          </w:tcPr>
          <w:p w14:paraId="0465F570"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xml:space="preserve"> - P_{t-20})/P_{t-20}$</w:t>
            </w:r>
          </w:p>
        </w:tc>
        <w:tc>
          <w:tcPr>
            <w:tcW w:w="635" w:type="dxa"/>
            <w:hideMark/>
          </w:tcPr>
          <w:p w14:paraId="56856F9A"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20 days</w:t>
            </w:r>
          </w:p>
        </w:tc>
        <w:tc>
          <w:tcPr>
            <w:tcW w:w="899" w:type="dxa"/>
            <w:hideMark/>
          </w:tcPr>
          <w:p w14:paraId="58173D56"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Monthly momentum</w:t>
            </w:r>
          </w:p>
        </w:tc>
      </w:tr>
      <w:tr w:rsidR="00FA4A69" w:rsidRPr="00043AF0" w14:paraId="47CBDC52" w14:textId="77777777" w:rsidTr="00C8361E">
        <w:trPr>
          <w:trHeight w:val="490"/>
        </w:trPr>
        <w:tc>
          <w:tcPr>
            <w:tcW w:w="782" w:type="dxa"/>
            <w:hideMark/>
          </w:tcPr>
          <w:p w14:paraId="1D3AC8B9"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Trend</w:t>
            </w:r>
          </w:p>
        </w:tc>
        <w:tc>
          <w:tcPr>
            <w:tcW w:w="1031" w:type="dxa"/>
            <w:hideMark/>
          </w:tcPr>
          <w:p w14:paraId="73331E32"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ma_10</w:t>
            </w:r>
          </w:p>
        </w:tc>
        <w:tc>
          <w:tcPr>
            <w:tcW w:w="1758" w:type="dxa"/>
            <w:hideMark/>
          </w:tcPr>
          <w:p w14:paraId="0B1A5ED3"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$\text{mean}(P_{t-9:t})$</w:t>
            </w:r>
          </w:p>
        </w:tc>
        <w:tc>
          <w:tcPr>
            <w:tcW w:w="635" w:type="dxa"/>
            <w:hideMark/>
          </w:tcPr>
          <w:p w14:paraId="0DB48578"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10 days</w:t>
            </w:r>
          </w:p>
        </w:tc>
        <w:tc>
          <w:tcPr>
            <w:tcW w:w="899" w:type="dxa"/>
            <w:hideMark/>
          </w:tcPr>
          <w:p w14:paraId="617104A3"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Short-term trend</w:t>
            </w:r>
          </w:p>
        </w:tc>
      </w:tr>
      <w:tr w:rsidR="00FA4A69" w:rsidRPr="00043AF0" w14:paraId="08434179" w14:textId="77777777" w:rsidTr="00C8361E">
        <w:trPr>
          <w:trHeight w:val="490"/>
        </w:trPr>
        <w:tc>
          <w:tcPr>
            <w:tcW w:w="782" w:type="dxa"/>
            <w:hideMark/>
          </w:tcPr>
          <w:p w14:paraId="72D02056"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Trend</w:t>
            </w:r>
          </w:p>
        </w:tc>
        <w:tc>
          <w:tcPr>
            <w:tcW w:w="1031" w:type="dxa"/>
            <w:hideMark/>
          </w:tcPr>
          <w:p w14:paraId="35756852"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ma_50</w:t>
            </w:r>
          </w:p>
        </w:tc>
        <w:tc>
          <w:tcPr>
            <w:tcW w:w="1758" w:type="dxa"/>
            <w:hideMark/>
          </w:tcPr>
          <w:p w14:paraId="742FECF9"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$\text{mean}(P_{t-49:t})$</w:t>
            </w:r>
          </w:p>
        </w:tc>
        <w:tc>
          <w:tcPr>
            <w:tcW w:w="635" w:type="dxa"/>
            <w:hideMark/>
          </w:tcPr>
          <w:p w14:paraId="6DA30ED4"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50 days</w:t>
            </w:r>
          </w:p>
        </w:tc>
        <w:tc>
          <w:tcPr>
            <w:tcW w:w="899" w:type="dxa"/>
            <w:hideMark/>
          </w:tcPr>
          <w:p w14:paraId="237CDD51"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Medium-term trend</w:t>
            </w:r>
          </w:p>
        </w:tc>
      </w:tr>
      <w:tr w:rsidR="00FA4A69" w:rsidRPr="00043AF0" w14:paraId="0FA01B01" w14:textId="77777777" w:rsidTr="00C8361E">
        <w:trPr>
          <w:trHeight w:val="490"/>
        </w:trPr>
        <w:tc>
          <w:tcPr>
            <w:tcW w:w="782" w:type="dxa"/>
            <w:hideMark/>
          </w:tcPr>
          <w:p w14:paraId="173378A8"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Trend</w:t>
            </w:r>
          </w:p>
        </w:tc>
        <w:tc>
          <w:tcPr>
            <w:tcW w:w="1031" w:type="dxa"/>
            <w:hideMark/>
          </w:tcPr>
          <w:p w14:paraId="2CA87343"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ma_200</w:t>
            </w:r>
          </w:p>
        </w:tc>
        <w:tc>
          <w:tcPr>
            <w:tcW w:w="1758" w:type="dxa"/>
            <w:hideMark/>
          </w:tcPr>
          <w:p w14:paraId="555AADF3"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$\text{mean}(P_{t-199:t})$</w:t>
            </w:r>
          </w:p>
        </w:tc>
        <w:tc>
          <w:tcPr>
            <w:tcW w:w="635" w:type="dxa"/>
            <w:hideMark/>
          </w:tcPr>
          <w:p w14:paraId="12D0309A"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200 days</w:t>
            </w:r>
          </w:p>
        </w:tc>
        <w:tc>
          <w:tcPr>
            <w:tcW w:w="899" w:type="dxa"/>
            <w:hideMark/>
          </w:tcPr>
          <w:p w14:paraId="57E537F2"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Long-term trend</w:t>
            </w:r>
          </w:p>
        </w:tc>
      </w:tr>
      <w:tr w:rsidR="00FA4A69" w:rsidRPr="00043AF0" w14:paraId="37D29B82" w14:textId="77777777" w:rsidTr="00C8361E">
        <w:trPr>
          <w:trHeight w:val="736"/>
        </w:trPr>
        <w:tc>
          <w:tcPr>
            <w:tcW w:w="782" w:type="dxa"/>
            <w:hideMark/>
          </w:tcPr>
          <w:p w14:paraId="0C38B1E9"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Trend</w:t>
            </w:r>
          </w:p>
        </w:tc>
        <w:tc>
          <w:tcPr>
            <w:tcW w:w="1031" w:type="dxa"/>
            <w:hideMark/>
          </w:tcPr>
          <w:p w14:paraId="760DE220"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price_to_ma50</w:t>
            </w:r>
          </w:p>
        </w:tc>
        <w:tc>
          <w:tcPr>
            <w:tcW w:w="1758" w:type="dxa"/>
            <w:hideMark/>
          </w:tcPr>
          <w:p w14:paraId="0DA8E575"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xml:space="preserve"> / \text{ma}_50$</w:t>
            </w:r>
          </w:p>
        </w:tc>
        <w:tc>
          <w:tcPr>
            <w:tcW w:w="635" w:type="dxa"/>
            <w:hideMark/>
          </w:tcPr>
          <w:p w14:paraId="2377687C"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
        </w:tc>
        <w:tc>
          <w:tcPr>
            <w:tcW w:w="899" w:type="dxa"/>
            <w:hideMark/>
          </w:tcPr>
          <w:p w14:paraId="36F0329E"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Relative position to MA-50</w:t>
            </w:r>
          </w:p>
        </w:tc>
      </w:tr>
      <w:tr w:rsidR="00FA4A69" w:rsidRPr="00043AF0" w14:paraId="12973A6A" w14:textId="77777777" w:rsidTr="00C8361E">
        <w:trPr>
          <w:trHeight w:val="748"/>
        </w:trPr>
        <w:tc>
          <w:tcPr>
            <w:tcW w:w="782" w:type="dxa"/>
            <w:hideMark/>
          </w:tcPr>
          <w:p w14:paraId="25A4A857"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Trend</w:t>
            </w:r>
          </w:p>
        </w:tc>
        <w:tc>
          <w:tcPr>
            <w:tcW w:w="1031" w:type="dxa"/>
            <w:hideMark/>
          </w:tcPr>
          <w:p w14:paraId="38DACA7A"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price_to_ma200</w:t>
            </w:r>
          </w:p>
        </w:tc>
        <w:tc>
          <w:tcPr>
            <w:tcW w:w="1758" w:type="dxa"/>
            <w:hideMark/>
          </w:tcPr>
          <w:p w14:paraId="3C967EFD"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xml:space="preserve"> / \text{ma}_{200}$</w:t>
            </w:r>
          </w:p>
        </w:tc>
        <w:tc>
          <w:tcPr>
            <w:tcW w:w="635" w:type="dxa"/>
            <w:hideMark/>
          </w:tcPr>
          <w:p w14:paraId="7492937D"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
        </w:tc>
        <w:tc>
          <w:tcPr>
            <w:tcW w:w="899" w:type="dxa"/>
            <w:hideMark/>
          </w:tcPr>
          <w:p w14:paraId="36310B9C"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Relative position to MA-200</w:t>
            </w:r>
          </w:p>
        </w:tc>
      </w:tr>
      <w:tr w:rsidR="00FA4A69" w:rsidRPr="00043AF0" w14:paraId="655A17E4" w14:textId="77777777" w:rsidTr="00C8361E">
        <w:trPr>
          <w:trHeight w:val="490"/>
        </w:trPr>
        <w:tc>
          <w:tcPr>
            <w:tcW w:w="782" w:type="dxa"/>
            <w:hideMark/>
          </w:tcPr>
          <w:p w14:paraId="4EA8A6B6"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Volatility</w:t>
            </w:r>
          </w:p>
        </w:tc>
        <w:tc>
          <w:tcPr>
            <w:tcW w:w="1031" w:type="dxa"/>
            <w:hideMark/>
          </w:tcPr>
          <w:p w14:paraId="3710626B"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volatility_20d</w:t>
            </w:r>
          </w:p>
        </w:tc>
        <w:tc>
          <w:tcPr>
            <w:tcW w:w="1758" w:type="dxa"/>
            <w:hideMark/>
          </w:tcPr>
          <w:p w14:paraId="0A9C7598"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$\text{std}(\text{returns}_{t-19:t})$</w:t>
            </w:r>
          </w:p>
        </w:tc>
        <w:tc>
          <w:tcPr>
            <w:tcW w:w="635" w:type="dxa"/>
            <w:hideMark/>
          </w:tcPr>
          <w:p w14:paraId="2F581014"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20 days</w:t>
            </w:r>
          </w:p>
        </w:tc>
        <w:tc>
          <w:tcPr>
            <w:tcW w:w="899" w:type="dxa"/>
            <w:hideMark/>
          </w:tcPr>
          <w:p w14:paraId="606D8A28"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Short-term risk</w:t>
            </w:r>
          </w:p>
        </w:tc>
      </w:tr>
      <w:tr w:rsidR="00FA4A69" w:rsidRPr="00043AF0" w14:paraId="625476C3" w14:textId="77777777" w:rsidTr="00C8361E">
        <w:trPr>
          <w:trHeight w:val="490"/>
        </w:trPr>
        <w:tc>
          <w:tcPr>
            <w:tcW w:w="782" w:type="dxa"/>
            <w:hideMark/>
          </w:tcPr>
          <w:p w14:paraId="4C536D3B"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Volatility</w:t>
            </w:r>
          </w:p>
        </w:tc>
        <w:tc>
          <w:tcPr>
            <w:tcW w:w="1031" w:type="dxa"/>
            <w:hideMark/>
          </w:tcPr>
          <w:p w14:paraId="37923D63"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volatility_60d</w:t>
            </w:r>
          </w:p>
        </w:tc>
        <w:tc>
          <w:tcPr>
            <w:tcW w:w="1758" w:type="dxa"/>
            <w:hideMark/>
          </w:tcPr>
          <w:p w14:paraId="0049C75A"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$\text{std}(\text{returns}_{t-59:t})$</w:t>
            </w:r>
          </w:p>
        </w:tc>
        <w:tc>
          <w:tcPr>
            <w:tcW w:w="635" w:type="dxa"/>
            <w:hideMark/>
          </w:tcPr>
          <w:p w14:paraId="297166A4"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60 days</w:t>
            </w:r>
          </w:p>
        </w:tc>
        <w:tc>
          <w:tcPr>
            <w:tcW w:w="899" w:type="dxa"/>
            <w:hideMark/>
          </w:tcPr>
          <w:p w14:paraId="7E7B7C17"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Medium-term risk</w:t>
            </w:r>
          </w:p>
        </w:tc>
      </w:tr>
      <w:tr w:rsidR="00FA4A69" w:rsidRPr="00043AF0" w14:paraId="692AC70D" w14:textId="77777777" w:rsidTr="00C8361E">
        <w:trPr>
          <w:trHeight w:val="490"/>
        </w:trPr>
        <w:tc>
          <w:tcPr>
            <w:tcW w:w="782" w:type="dxa"/>
            <w:hideMark/>
          </w:tcPr>
          <w:p w14:paraId="5D5D1325"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Momentum</w:t>
            </w:r>
          </w:p>
        </w:tc>
        <w:tc>
          <w:tcPr>
            <w:tcW w:w="1031" w:type="dxa"/>
            <w:hideMark/>
          </w:tcPr>
          <w:p w14:paraId="56B45964"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rsi_14</w:t>
            </w:r>
          </w:p>
        </w:tc>
        <w:tc>
          <w:tcPr>
            <w:tcW w:w="1758" w:type="dxa"/>
            <w:hideMark/>
          </w:tcPr>
          <w:p w14:paraId="5FD64132"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$100 - 100/(1+RS)$</w:t>
            </w:r>
          </w:p>
        </w:tc>
        <w:tc>
          <w:tcPr>
            <w:tcW w:w="635" w:type="dxa"/>
            <w:hideMark/>
          </w:tcPr>
          <w:p w14:paraId="398FFC46"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14 days</w:t>
            </w:r>
          </w:p>
        </w:tc>
        <w:tc>
          <w:tcPr>
            <w:tcW w:w="899" w:type="dxa"/>
            <w:hideMark/>
          </w:tcPr>
          <w:p w14:paraId="63CDCC7D"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Overbought/oversold</w:t>
            </w:r>
          </w:p>
        </w:tc>
      </w:tr>
      <w:tr w:rsidR="00FA4A69" w:rsidRPr="00043AF0" w14:paraId="1FD8C485" w14:textId="77777777" w:rsidTr="00C8361E">
        <w:trPr>
          <w:trHeight w:val="490"/>
        </w:trPr>
        <w:tc>
          <w:tcPr>
            <w:tcW w:w="782" w:type="dxa"/>
            <w:hideMark/>
          </w:tcPr>
          <w:p w14:paraId="2923304A"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Volume</w:t>
            </w:r>
          </w:p>
        </w:tc>
        <w:tc>
          <w:tcPr>
            <w:tcW w:w="1031" w:type="dxa"/>
            <w:hideMark/>
          </w:tcPr>
          <w:p w14:paraId="4600564F" w14:textId="77777777" w:rsidR="00043AF0" w:rsidRPr="00043AF0" w:rsidRDefault="00043AF0" w:rsidP="00FA4A69">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volume_ratio</w:t>
            </w:r>
            <w:proofErr w:type="spellEnd"/>
          </w:p>
        </w:tc>
        <w:tc>
          <w:tcPr>
            <w:tcW w:w="1758" w:type="dxa"/>
            <w:hideMark/>
          </w:tcPr>
          <w:p w14:paraId="15FBDCDC"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V_t</w:t>
            </w:r>
            <w:proofErr w:type="spellEnd"/>
            <w:r w:rsidRPr="00043AF0">
              <w:rPr>
                <w:rFonts w:ascii="Times New Roman" w:hAnsi="Times New Roman" w:cs="Times New Roman"/>
                <w:sz w:val="20"/>
                <w:szCs w:val="20"/>
              </w:rPr>
              <w:t xml:space="preserve"> / \text{mean}(V_{t-19:t})$</w:t>
            </w:r>
          </w:p>
        </w:tc>
        <w:tc>
          <w:tcPr>
            <w:tcW w:w="635" w:type="dxa"/>
            <w:hideMark/>
          </w:tcPr>
          <w:p w14:paraId="7A549453"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20 days</w:t>
            </w:r>
          </w:p>
        </w:tc>
        <w:tc>
          <w:tcPr>
            <w:tcW w:w="899" w:type="dxa"/>
            <w:hideMark/>
          </w:tcPr>
          <w:p w14:paraId="19CB1B08"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Volume confirmation</w:t>
            </w:r>
          </w:p>
        </w:tc>
      </w:tr>
      <w:tr w:rsidR="00FA4A69" w:rsidRPr="00043AF0" w14:paraId="4DA8DDE3" w14:textId="77777777" w:rsidTr="00C8361E">
        <w:trPr>
          <w:trHeight w:val="502"/>
        </w:trPr>
        <w:tc>
          <w:tcPr>
            <w:tcW w:w="782" w:type="dxa"/>
            <w:hideMark/>
          </w:tcPr>
          <w:p w14:paraId="59F7E826"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Range</w:t>
            </w:r>
          </w:p>
        </w:tc>
        <w:tc>
          <w:tcPr>
            <w:tcW w:w="1031" w:type="dxa"/>
            <w:hideMark/>
          </w:tcPr>
          <w:p w14:paraId="1691DEBC" w14:textId="77777777" w:rsidR="00043AF0" w:rsidRPr="00043AF0" w:rsidRDefault="00043AF0" w:rsidP="00FA4A69">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high_low_ratio</w:t>
            </w:r>
            <w:proofErr w:type="spellEnd"/>
          </w:p>
        </w:tc>
        <w:tc>
          <w:tcPr>
            <w:tcW w:w="1758" w:type="dxa"/>
            <w:hideMark/>
          </w:tcPr>
          <w:p w14:paraId="751A9F78"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H_t</w:t>
            </w:r>
            <w:proofErr w:type="spellEnd"/>
            <w:r w:rsidRPr="00043AF0">
              <w:rPr>
                <w:rFonts w:ascii="Times New Roman" w:hAnsi="Times New Roman" w:cs="Times New Roman"/>
                <w:sz w:val="20"/>
                <w:szCs w:val="20"/>
              </w:rPr>
              <w:t xml:space="preserve"> / </w:t>
            </w:r>
            <w:proofErr w:type="spellStart"/>
            <w:r w:rsidRPr="00043AF0">
              <w:rPr>
                <w:rFonts w:ascii="Times New Roman" w:hAnsi="Times New Roman" w:cs="Times New Roman"/>
                <w:sz w:val="20"/>
                <w:szCs w:val="20"/>
              </w:rPr>
              <w:t>L_t</w:t>
            </w:r>
            <w:proofErr w:type="spellEnd"/>
            <w:r w:rsidRPr="00043AF0">
              <w:rPr>
                <w:rFonts w:ascii="Times New Roman" w:hAnsi="Times New Roman" w:cs="Times New Roman"/>
                <w:sz w:val="20"/>
                <w:szCs w:val="20"/>
              </w:rPr>
              <w:t>$</w:t>
            </w:r>
          </w:p>
        </w:tc>
        <w:tc>
          <w:tcPr>
            <w:tcW w:w="635" w:type="dxa"/>
            <w:hideMark/>
          </w:tcPr>
          <w:p w14:paraId="1964C23F"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1 day</w:t>
            </w:r>
          </w:p>
        </w:tc>
        <w:tc>
          <w:tcPr>
            <w:tcW w:w="899" w:type="dxa"/>
            <w:hideMark/>
          </w:tcPr>
          <w:p w14:paraId="497CA3E8"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Intraday volatility</w:t>
            </w:r>
          </w:p>
        </w:tc>
      </w:tr>
      <w:tr w:rsidR="00FA4A69" w:rsidRPr="00043AF0" w14:paraId="0A56443D" w14:textId="77777777" w:rsidTr="00C8361E">
        <w:trPr>
          <w:trHeight w:val="490"/>
        </w:trPr>
        <w:tc>
          <w:tcPr>
            <w:tcW w:w="782" w:type="dxa"/>
            <w:hideMark/>
          </w:tcPr>
          <w:p w14:paraId="625528CD"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Range</w:t>
            </w:r>
          </w:p>
        </w:tc>
        <w:tc>
          <w:tcPr>
            <w:tcW w:w="1031" w:type="dxa"/>
            <w:hideMark/>
          </w:tcPr>
          <w:p w14:paraId="780B2A6B" w14:textId="77777777" w:rsidR="00043AF0" w:rsidRPr="00043AF0" w:rsidRDefault="00043AF0" w:rsidP="00FA4A69">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close_to_high</w:t>
            </w:r>
            <w:proofErr w:type="spellEnd"/>
          </w:p>
        </w:tc>
        <w:tc>
          <w:tcPr>
            <w:tcW w:w="1758" w:type="dxa"/>
            <w:hideMark/>
          </w:tcPr>
          <w:p w14:paraId="5F6744ED"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C_t</w:t>
            </w:r>
            <w:proofErr w:type="spellEnd"/>
            <w:r w:rsidRPr="00043AF0">
              <w:rPr>
                <w:rFonts w:ascii="Times New Roman" w:hAnsi="Times New Roman" w:cs="Times New Roman"/>
                <w:sz w:val="20"/>
                <w:szCs w:val="20"/>
              </w:rPr>
              <w:t xml:space="preserve"> / </w:t>
            </w:r>
            <w:proofErr w:type="spellStart"/>
            <w:r w:rsidRPr="00043AF0">
              <w:rPr>
                <w:rFonts w:ascii="Times New Roman" w:hAnsi="Times New Roman" w:cs="Times New Roman"/>
                <w:sz w:val="20"/>
                <w:szCs w:val="20"/>
              </w:rPr>
              <w:t>H_t</w:t>
            </w:r>
            <w:proofErr w:type="spellEnd"/>
            <w:r w:rsidRPr="00043AF0">
              <w:rPr>
                <w:rFonts w:ascii="Times New Roman" w:hAnsi="Times New Roman" w:cs="Times New Roman"/>
                <w:sz w:val="20"/>
                <w:szCs w:val="20"/>
              </w:rPr>
              <w:t>$</w:t>
            </w:r>
          </w:p>
        </w:tc>
        <w:tc>
          <w:tcPr>
            <w:tcW w:w="635" w:type="dxa"/>
            <w:hideMark/>
          </w:tcPr>
          <w:p w14:paraId="17CC3442"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1 day</w:t>
            </w:r>
          </w:p>
        </w:tc>
        <w:tc>
          <w:tcPr>
            <w:tcW w:w="899" w:type="dxa"/>
            <w:hideMark/>
          </w:tcPr>
          <w:p w14:paraId="0FFD7AA2" w14:textId="77777777" w:rsidR="00043AF0" w:rsidRPr="00043AF0" w:rsidRDefault="00043AF0" w:rsidP="00FA4A69">
            <w:pPr>
              <w:jc w:val="both"/>
              <w:rPr>
                <w:rFonts w:ascii="Times New Roman" w:hAnsi="Times New Roman" w:cs="Times New Roman"/>
                <w:sz w:val="20"/>
                <w:szCs w:val="20"/>
              </w:rPr>
            </w:pPr>
            <w:r w:rsidRPr="00043AF0">
              <w:rPr>
                <w:rFonts w:ascii="Times New Roman" w:hAnsi="Times New Roman" w:cs="Times New Roman"/>
                <w:sz w:val="20"/>
                <w:szCs w:val="20"/>
              </w:rPr>
              <w:t>Closing strength</w:t>
            </w:r>
          </w:p>
        </w:tc>
      </w:tr>
    </w:tbl>
    <w:p w14:paraId="2A84922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Note: $RS = \text{avg}(\text{gains}</w:t>
      </w:r>
      <w:r w:rsidRPr="00043AF0">
        <w:rPr>
          <w:rFonts w:ascii="Times New Roman" w:hAnsi="Times New Roman" w:cs="Times New Roman"/>
          <w:i/>
          <w:iCs/>
          <w:sz w:val="20"/>
          <w:szCs w:val="20"/>
        </w:rPr>
        <w:t>{14}) / \text{avg}(\text{losses}</w:t>
      </w:r>
      <w:r w:rsidRPr="00043AF0">
        <w:rPr>
          <w:rFonts w:ascii="Times New Roman" w:hAnsi="Times New Roman" w:cs="Times New Roman"/>
          <w:sz w:val="20"/>
          <w:szCs w:val="20"/>
        </w:rPr>
        <w:t>{14</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 xml:space="preserve"> for RSI calculation.</w:t>
      </w:r>
    </w:p>
    <w:p w14:paraId="3AE7D2A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[INSERT FIGURE 2 HERE: Feature Engineering Pipeline Flowchart showing data flow: Raw OHLCV Data → Calculate Returns (1d, 5d, 20d) → Calculate Moving Averages (10, 50, 200) → Calculate Volatility (20d, 60d) → Calculate RSI, Volume Ratio, Price Ratios → 14-dimensional Feature Vector]</w:t>
      </w:r>
    </w:p>
    <w:p w14:paraId="6A88835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Moving averages capture trend direction with the classical interpretation that prices above long-term moving averages </w:t>
      </w:r>
      <w:r w:rsidRPr="00043AF0">
        <w:rPr>
          <w:rFonts w:ascii="Times New Roman" w:hAnsi="Times New Roman" w:cs="Times New Roman"/>
          <w:sz w:val="20"/>
          <w:szCs w:val="20"/>
        </w:rPr>
        <w:t>(MA-50, MA-200) indicate bullish trends, while prices below suggest bearish trends. The ratios price_to_ma50 and price_to_ma200 normalize this relationship to be comparable across stocks with different price scales.</w:t>
      </w:r>
    </w:p>
    <w:p w14:paraId="12238F6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Volatility measures quantify price instability using standard deviation of returns. Higher volatility indicates greater uncertainty and risk. The distinction between 20-day and 60-day windows captures both recent volatility spikes and longer-term risk characteristics.</w:t>
      </w:r>
    </w:p>
    <w:p w14:paraId="794214D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RSI, a bounded oscillator ranging from 0-100, identifies momentum extremes. Values above 70 traditionally signal overbought conditions (potential reversal downward), while values below 30 indicate oversold conditions (potential reversal upward).</w:t>
      </w:r>
    </w:p>
    <w:p w14:paraId="7727ABC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Volume ratio confirms price movements. Technical analysis theory suggests that price moves accompanied by high volume are more reliable than those on low volume, as volume indicates market conviction.</w:t>
      </w:r>
    </w:p>
    <w:p w14:paraId="47F568A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Critical to feature calculation is the use of proper temporal windows. For example, ma_200 on date </w:t>
      </w:r>
      <w:r w:rsidRPr="00043AF0">
        <w:rPr>
          <w:rFonts w:ascii="Times New Roman" w:hAnsi="Times New Roman" w:cs="Times New Roman"/>
          <w:i/>
          <w:iCs/>
          <w:sz w:val="20"/>
          <w:szCs w:val="20"/>
        </w:rPr>
        <w:t>t</w:t>
      </w:r>
      <w:r w:rsidRPr="00043AF0">
        <w:rPr>
          <w:rFonts w:ascii="Times New Roman" w:hAnsi="Times New Roman" w:cs="Times New Roman"/>
          <w:sz w:val="20"/>
          <w:szCs w:val="20"/>
        </w:rPr>
        <w:t xml:space="preserve"> uses only data from </w:t>
      </w:r>
      <w:r w:rsidRPr="00043AF0">
        <w:rPr>
          <w:rFonts w:ascii="Times New Roman" w:hAnsi="Times New Roman" w:cs="Times New Roman"/>
          <w:i/>
          <w:iCs/>
          <w:sz w:val="20"/>
          <w:szCs w:val="20"/>
        </w:rPr>
        <w:t>t-199</w:t>
      </w:r>
      <w:r w:rsidRPr="00043AF0">
        <w:rPr>
          <w:rFonts w:ascii="Times New Roman" w:hAnsi="Times New Roman" w:cs="Times New Roman"/>
          <w:sz w:val="20"/>
          <w:szCs w:val="20"/>
        </w:rPr>
        <w:t xml:space="preserve"> to </w:t>
      </w:r>
      <w:r w:rsidRPr="00043AF0">
        <w:rPr>
          <w:rFonts w:ascii="Times New Roman" w:hAnsi="Times New Roman" w:cs="Times New Roman"/>
          <w:i/>
          <w:iCs/>
          <w:sz w:val="20"/>
          <w:szCs w:val="20"/>
        </w:rPr>
        <w:t>t</w:t>
      </w:r>
      <w:r w:rsidRPr="00043AF0">
        <w:rPr>
          <w:rFonts w:ascii="Times New Roman" w:hAnsi="Times New Roman" w:cs="Times New Roman"/>
          <w:sz w:val="20"/>
          <w:szCs w:val="20"/>
        </w:rPr>
        <w:t xml:space="preserve">, never including information from </w:t>
      </w:r>
      <w:r w:rsidRPr="00043AF0">
        <w:rPr>
          <w:rFonts w:ascii="Times New Roman" w:hAnsi="Times New Roman" w:cs="Times New Roman"/>
          <w:i/>
          <w:iCs/>
          <w:sz w:val="20"/>
          <w:szCs w:val="20"/>
        </w:rPr>
        <w:t>t+1</w:t>
      </w:r>
      <w:r w:rsidRPr="00043AF0">
        <w:rPr>
          <w:rFonts w:ascii="Times New Roman" w:hAnsi="Times New Roman" w:cs="Times New Roman"/>
          <w:sz w:val="20"/>
          <w:szCs w:val="20"/>
        </w:rPr>
        <w:t xml:space="preserve"> onward. Initial rows lacking sufficient history (e.g., first 200 days for MA-200 calculation) are removed from the dataset.</w:t>
      </w:r>
    </w:p>
    <w:p w14:paraId="2CBD9309"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D. Model Architecture</w:t>
      </w:r>
    </w:p>
    <w:p w14:paraId="7FBE801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Random Forest classifier is employed for binary stock direction prediction. Random Forest is an ensemble learning method that constructs multiple decision trees during training and outputs the class voted by the majority of trees [10].</w:t>
      </w:r>
    </w:p>
    <w:p w14:paraId="4A4582B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algorithm operates as follows:</w:t>
      </w:r>
    </w:p>
    <w:p w14:paraId="67B4B0DF" w14:textId="77777777" w:rsidR="00043AF0" w:rsidRPr="00043AF0" w:rsidRDefault="00043AF0" w:rsidP="00C8361E">
      <w:pPr>
        <w:numPr>
          <w:ilvl w:val="0"/>
          <w:numId w:val="1"/>
        </w:numPr>
        <w:tabs>
          <w:tab w:val="clear" w:pos="720"/>
          <w:tab w:val="left" w:pos="450"/>
        </w:tabs>
        <w:spacing w:line="240" w:lineRule="auto"/>
        <w:ind w:left="450" w:hanging="270"/>
        <w:jc w:val="both"/>
        <w:rPr>
          <w:rFonts w:ascii="Times New Roman" w:hAnsi="Times New Roman" w:cs="Times New Roman"/>
          <w:sz w:val="20"/>
          <w:szCs w:val="20"/>
        </w:rPr>
      </w:pPr>
      <w:r w:rsidRPr="00043AF0">
        <w:rPr>
          <w:rFonts w:ascii="Times New Roman" w:hAnsi="Times New Roman" w:cs="Times New Roman"/>
          <w:b/>
          <w:bCs/>
          <w:sz w:val="20"/>
          <w:szCs w:val="20"/>
        </w:rPr>
        <w:t>Bootstrap Sampling</w:t>
      </w:r>
      <w:r w:rsidRPr="00043AF0">
        <w:rPr>
          <w:rFonts w:ascii="Times New Roman" w:hAnsi="Times New Roman" w:cs="Times New Roman"/>
          <w:sz w:val="20"/>
          <w:szCs w:val="20"/>
        </w:rPr>
        <w:t xml:space="preserve">: For each of </w:t>
      </w:r>
      <w:r w:rsidRPr="00043AF0">
        <w:rPr>
          <w:rFonts w:ascii="Times New Roman" w:hAnsi="Times New Roman" w:cs="Times New Roman"/>
          <w:i/>
          <w:iCs/>
          <w:sz w:val="20"/>
          <w:szCs w:val="20"/>
        </w:rPr>
        <w:t>B</w:t>
      </w:r>
      <w:r w:rsidRPr="00043AF0">
        <w:rPr>
          <w:rFonts w:ascii="Times New Roman" w:hAnsi="Times New Roman" w:cs="Times New Roman"/>
          <w:sz w:val="20"/>
          <w:szCs w:val="20"/>
        </w:rPr>
        <w:t xml:space="preserve"> trees, create a bootstrap sample (random sampling with replacement) from the training data</w:t>
      </w:r>
    </w:p>
    <w:p w14:paraId="19F247A9" w14:textId="77777777" w:rsidR="00043AF0" w:rsidRPr="00043AF0" w:rsidRDefault="00043AF0" w:rsidP="00C8361E">
      <w:pPr>
        <w:numPr>
          <w:ilvl w:val="0"/>
          <w:numId w:val="1"/>
        </w:numPr>
        <w:tabs>
          <w:tab w:val="clear" w:pos="720"/>
          <w:tab w:val="left" w:pos="450"/>
        </w:tabs>
        <w:spacing w:line="240" w:lineRule="auto"/>
        <w:ind w:left="450" w:hanging="270"/>
        <w:jc w:val="both"/>
        <w:rPr>
          <w:rFonts w:ascii="Times New Roman" w:hAnsi="Times New Roman" w:cs="Times New Roman"/>
          <w:sz w:val="20"/>
          <w:szCs w:val="20"/>
        </w:rPr>
      </w:pPr>
      <w:r w:rsidRPr="00043AF0">
        <w:rPr>
          <w:rFonts w:ascii="Times New Roman" w:hAnsi="Times New Roman" w:cs="Times New Roman"/>
          <w:b/>
          <w:bCs/>
          <w:sz w:val="20"/>
          <w:szCs w:val="20"/>
        </w:rPr>
        <w:t>Tree Construction</w:t>
      </w:r>
      <w:r w:rsidRPr="00043AF0">
        <w:rPr>
          <w:rFonts w:ascii="Times New Roman" w:hAnsi="Times New Roman" w:cs="Times New Roman"/>
          <w:sz w:val="20"/>
          <w:szCs w:val="20"/>
        </w:rPr>
        <w:t xml:space="preserve">: For each tree: </w:t>
      </w:r>
    </w:p>
    <w:p w14:paraId="7EB3E067" w14:textId="77777777" w:rsidR="00043AF0" w:rsidRPr="00043AF0" w:rsidRDefault="00043AF0" w:rsidP="00C8361E">
      <w:pPr>
        <w:numPr>
          <w:ilvl w:val="1"/>
          <w:numId w:val="1"/>
        </w:numPr>
        <w:tabs>
          <w:tab w:val="left" w:pos="450"/>
        </w:tabs>
        <w:spacing w:line="240" w:lineRule="auto"/>
        <w:ind w:left="450" w:hanging="270"/>
        <w:jc w:val="both"/>
        <w:rPr>
          <w:rFonts w:ascii="Times New Roman" w:hAnsi="Times New Roman" w:cs="Times New Roman"/>
          <w:sz w:val="20"/>
          <w:szCs w:val="20"/>
        </w:rPr>
      </w:pPr>
      <w:r w:rsidRPr="00043AF0">
        <w:rPr>
          <w:rFonts w:ascii="Times New Roman" w:hAnsi="Times New Roman" w:cs="Times New Roman"/>
          <w:sz w:val="20"/>
          <w:szCs w:val="20"/>
        </w:rPr>
        <w:t xml:space="preserve">At each node, randomly select </w:t>
      </w:r>
      <w:r w:rsidRPr="00043AF0">
        <w:rPr>
          <w:rFonts w:ascii="Times New Roman" w:hAnsi="Times New Roman" w:cs="Times New Roman"/>
          <w:i/>
          <w:iCs/>
          <w:sz w:val="20"/>
          <w:szCs w:val="20"/>
        </w:rPr>
        <w:t>m</w:t>
      </w:r>
      <w:r w:rsidRPr="00043AF0">
        <w:rPr>
          <w:rFonts w:ascii="Times New Roman" w:hAnsi="Times New Roman" w:cs="Times New Roman"/>
          <w:sz w:val="20"/>
          <w:szCs w:val="20"/>
        </w:rPr>
        <w:t xml:space="preserve"> features from total </w:t>
      </w:r>
      <w:r w:rsidRPr="00043AF0">
        <w:rPr>
          <w:rFonts w:ascii="Times New Roman" w:hAnsi="Times New Roman" w:cs="Times New Roman"/>
          <w:i/>
          <w:iCs/>
          <w:sz w:val="20"/>
          <w:szCs w:val="20"/>
        </w:rPr>
        <w:t>p</w:t>
      </w:r>
      <w:r w:rsidRPr="00043AF0">
        <w:rPr>
          <w:rFonts w:ascii="Times New Roman" w:hAnsi="Times New Roman" w:cs="Times New Roman"/>
          <w:sz w:val="20"/>
          <w:szCs w:val="20"/>
        </w:rPr>
        <w:t xml:space="preserve"> features</w:t>
      </w:r>
    </w:p>
    <w:p w14:paraId="55B4D098" w14:textId="77777777" w:rsidR="00043AF0" w:rsidRPr="00043AF0" w:rsidRDefault="00043AF0" w:rsidP="00C8361E">
      <w:pPr>
        <w:numPr>
          <w:ilvl w:val="1"/>
          <w:numId w:val="1"/>
        </w:numPr>
        <w:tabs>
          <w:tab w:val="left" w:pos="450"/>
        </w:tabs>
        <w:spacing w:line="240" w:lineRule="auto"/>
        <w:ind w:left="450" w:hanging="270"/>
        <w:jc w:val="both"/>
        <w:rPr>
          <w:rFonts w:ascii="Times New Roman" w:hAnsi="Times New Roman" w:cs="Times New Roman"/>
          <w:sz w:val="20"/>
          <w:szCs w:val="20"/>
        </w:rPr>
      </w:pPr>
      <w:r w:rsidRPr="00043AF0">
        <w:rPr>
          <w:rFonts w:ascii="Times New Roman" w:hAnsi="Times New Roman" w:cs="Times New Roman"/>
          <w:sz w:val="20"/>
          <w:szCs w:val="20"/>
        </w:rPr>
        <w:t xml:space="preserve">Choose the best split among the </w:t>
      </w:r>
      <w:r w:rsidRPr="00043AF0">
        <w:rPr>
          <w:rFonts w:ascii="Times New Roman" w:hAnsi="Times New Roman" w:cs="Times New Roman"/>
          <w:i/>
          <w:iCs/>
          <w:sz w:val="20"/>
          <w:szCs w:val="20"/>
        </w:rPr>
        <w:t>m</w:t>
      </w:r>
      <w:r w:rsidRPr="00043AF0">
        <w:rPr>
          <w:rFonts w:ascii="Times New Roman" w:hAnsi="Times New Roman" w:cs="Times New Roman"/>
          <w:sz w:val="20"/>
          <w:szCs w:val="20"/>
        </w:rPr>
        <w:t xml:space="preserve"> features using Gini impurity criterion</w:t>
      </w:r>
    </w:p>
    <w:p w14:paraId="14B336C1" w14:textId="77777777" w:rsidR="00043AF0" w:rsidRPr="00043AF0" w:rsidRDefault="00043AF0" w:rsidP="00C8361E">
      <w:pPr>
        <w:numPr>
          <w:ilvl w:val="1"/>
          <w:numId w:val="1"/>
        </w:numPr>
        <w:tabs>
          <w:tab w:val="left" w:pos="450"/>
        </w:tabs>
        <w:spacing w:line="240" w:lineRule="auto"/>
        <w:ind w:left="450" w:hanging="270"/>
        <w:jc w:val="both"/>
        <w:rPr>
          <w:rFonts w:ascii="Times New Roman" w:hAnsi="Times New Roman" w:cs="Times New Roman"/>
          <w:sz w:val="20"/>
          <w:szCs w:val="20"/>
        </w:rPr>
      </w:pPr>
      <w:r w:rsidRPr="00043AF0">
        <w:rPr>
          <w:rFonts w:ascii="Times New Roman" w:hAnsi="Times New Roman" w:cs="Times New Roman"/>
          <w:sz w:val="20"/>
          <w:szCs w:val="20"/>
        </w:rPr>
        <w:t>Grow tree to maximum depth or until stopping criteria met</w:t>
      </w:r>
    </w:p>
    <w:p w14:paraId="3A48544B" w14:textId="587339B7" w:rsidR="00043AF0" w:rsidRPr="00043AF0" w:rsidRDefault="00772F01" w:rsidP="00043AF0">
      <w:pPr>
        <w:numPr>
          <w:ilvl w:val="0"/>
          <w:numId w:val="1"/>
        </w:numPr>
        <w:jc w:val="both"/>
        <w:rPr>
          <w:rFonts w:ascii="Times New Roman" w:hAnsi="Times New Roman" w:cs="Times New Roman"/>
          <w:sz w:val="20"/>
          <w:szCs w:val="20"/>
        </w:rPr>
      </w:pPr>
      <w:r w:rsidRPr="00772F01">
        <w:rPr>
          <w:rFonts w:ascii="Times New Roman" w:hAnsi="Times New Roman" w:cs="Times New Roman"/>
          <w:sz w:val="20"/>
          <w:szCs w:val="20"/>
        </w:rPr>
        <w:lastRenderedPageBreak/>
        <w:drawing>
          <wp:anchor distT="0" distB="0" distL="114300" distR="114300" simplePos="0" relativeHeight="251659264" behindDoc="0" locked="0" layoutInCell="1" allowOverlap="1" wp14:anchorId="0CDBABAF" wp14:editId="22024CC0">
            <wp:simplePos x="0" y="0"/>
            <wp:positionH relativeFrom="column">
              <wp:posOffset>203200</wp:posOffset>
            </wp:positionH>
            <wp:positionV relativeFrom="paragraph">
              <wp:posOffset>558800</wp:posOffset>
            </wp:positionV>
            <wp:extent cx="2751243" cy="956173"/>
            <wp:effectExtent l="0" t="0" r="0" b="0"/>
            <wp:wrapSquare wrapText="bothSides"/>
            <wp:docPr id="95016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3769" name=""/>
                    <pic:cNvPicPr/>
                  </pic:nvPicPr>
                  <pic:blipFill rotWithShape="1">
                    <a:blip r:embed="rId5" cstate="print">
                      <a:extLst>
                        <a:ext uri="{28A0092B-C50C-407E-A947-70E740481C1C}">
                          <a14:useLocalDpi xmlns:a14="http://schemas.microsoft.com/office/drawing/2010/main" val="0"/>
                        </a:ext>
                      </a:extLst>
                    </a:blip>
                    <a:srcRect l="6627" t="6658" r="7237" b="9730"/>
                    <a:stretch>
                      <a:fillRect/>
                    </a:stretch>
                  </pic:blipFill>
                  <pic:spPr bwMode="auto">
                    <a:xfrm>
                      <a:off x="0" y="0"/>
                      <a:ext cx="2751243" cy="956173"/>
                    </a:xfrm>
                    <a:prstGeom prst="rect">
                      <a:avLst/>
                    </a:prstGeom>
                    <a:ln>
                      <a:noFill/>
                    </a:ln>
                    <a:extLst>
                      <a:ext uri="{53640926-AAD7-44D8-BBD7-CCE9431645EC}">
                        <a14:shadowObscured xmlns:a14="http://schemas.microsoft.com/office/drawing/2010/main"/>
                      </a:ext>
                    </a:extLst>
                  </pic:spPr>
                </pic:pic>
              </a:graphicData>
            </a:graphic>
          </wp:anchor>
        </w:drawing>
      </w:r>
      <w:r w:rsidR="00043AF0" w:rsidRPr="00043AF0">
        <w:rPr>
          <w:rFonts w:ascii="Times New Roman" w:hAnsi="Times New Roman" w:cs="Times New Roman"/>
          <w:b/>
          <w:bCs/>
          <w:sz w:val="20"/>
          <w:szCs w:val="20"/>
        </w:rPr>
        <w:t>Prediction Aggregation</w:t>
      </w:r>
      <w:r w:rsidR="00043AF0" w:rsidRPr="00043AF0">
        <w:rPr>
          <w:rFonts w:ascii="Times New Roman" w:hAnsi="Times New Roman" w:cs="Times New Roman"/>
          <w:sz w:val="20"/>
          <w:szCs w:val="20"/>
        </w:rPr>
        <w:t xml:space="preserve">: For a new sample, obtain predictions from all </w:t>
      </w:r>
      <w:r w:rsidR="00043AF0" w:rsidRPr="00043AF0">
        <w:rPr>
          <w:rFonts w:ascii="Times New Roman" w:hAnsi="Times New Roman" w:cs="Times New Roman"/>
          <w:i/>
          <w:iCs/>
          <w:sz w:val="20"/>
          <w:szCs w:val="20"/>
        </w:rPr>
        <w:t>B</w:t>
      </w:r>
      <w:r w:rsidR="00043AF0" w:rsidRPr="00043AF0">
        <w:rPr>
          <w:rFonts w:ascii="Times New Roman" w:hAnsi="Times New Roman" w:cs="Times New Roman"/>
          <w:sz w:val="20"/>
          <w:szCs w:val="20"/>
        </w:rPr>
        <w:t xml:space="preserve"> trees and take majority vote for classification</w:t>
      </w:r>
    </w:p>
    <w:p w14:paraId="03D69458" w14:textId="577A19D0" w:rsidR="00043AF0" w:rsidRPr="00043AF0" w:rsidRDefault="00772F01" w:rsidP="00043AF0">
      <w:pPr>
        <w:jc w:val="both"/>
        <w:rPr>
          <w:rFonts w:ascii="Times New Roman" w:hAnsi="Times New Roman" w:cs="Times New Roman"/>
          <w:sz w:val="20"/>
          <w:szCs w:val="20"/>
        </w:rPr>
      </w:pPr>
      <w:r w:rsidRPr="00772F01">
        <w:rPr>
          <w:rFonts w:ascii="Times New Roman" w:hAnsi="Times New Roman" w:cs="Times New Roman"/>
          <w:sz w:val="20"/>
          <w:szCs w:val="20"/>
        </w:rPr>
        <w:drawing>
          <wp:anchor distT="0" distB="0" distL="114300" distR="114300" simplePos="0" relativeHeight="251660288" behindDoc="0" locked="0" layoutInCell="1" allowOverlap="1" wp14:anchorId="5302DBB6" wp14:editId="0EC12056">
            <wp:simplePos x="0" y="0"/>
            <wp:positionH relativeFrom="column">
              <wp:posOffset>0</wp:posOffset>
            </wp:positionH>
            <wp:positionV relativeFrom="paragraph">
              <wp:posOffset>1109345</wp:posOffset>
            </wp:positionV>
            <wp:extent cx="3195955" cy="663575"/>
            <wp:effectExtent l="0" t="0" r="4445" b="3175"/>
            <wp:wrapSquare wrapText="bothSides"/>
            <wp:docPr id="49277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7117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5955" cy="663575"/>
                    </a:xfrm>
                    <a:prstGeom prst="rect">
                      <a:avLst/>
                    </a:prstGeom>
                  </pic:spPr>
                </pic:pic>
              </a:graphicData>
            </a:graphic>
          </wp:anchor>
        </w:drawing>
      </w:r>
    </w:p>
    <w:p w14:paraId="2645EBF8" w14:textId="5DEA4024" w:rsidR="007D23E1" w:rsidRDefault="007D23E1" w:rsidP="007D23E1">
      <w:pPr>
        <w:jc w:val="center"/>
        <w:rPr>
          <w:rFonts w:ascii="Times New Roman" w:hAnsi="Times New Roman" w:cs="Times New Roman"/>
          <w:sz w:val="20"/>
          <w:szCs w:val="20"/>
        </w:rPr>
      </w:pPr>
      <w:r>
        <w:rPr>
          <w:rFonts w:ascii="Times New Roman" w:hAnsi="Times New Roman" w:cs="Times New Roman"/>
          <w:sz w:val="20"/>
          <w:szCs w:val="20"/>
        </w:rPr>
        <w:t xml:space="preserve">Fig </w:t>
      </w:r>
      <w:proofErr w:type="gramStart"/>
      <w:r>
        <w:rPr>
          <w:rFonts w:ascii="Times New Roman" w:hAnsi="Times New Roman" w:cs="Times New Roman"/>
          <w:sz w:val="20"/>
          <w:szCs w:val="20"/>
        </w:rPr>
        <w:t>1 :</w:t>
      </w:r>
      <w:proofErr w:type="gramEnd"/>
      <w:r>
        <w:rPr>
          <w:rFonts w:ascii="Times New Roman" w:hAnsi="Times New Roman" w:cs="Times New Roman"/>
          <w:sz w:val="20"/>
          <w:szCs w:val="20"/>
        </w:rPr>
        <w:t xml:space="preserve"> Random Forest architecture</w:t>
      </w:r>
    </w:p>
    <w:p w14:paraId="5A05B84D" w14:textId="748B7CF6"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Gini impurity criterion for split selection measures node impurity:</w:t>
      </w:r>
    </w:p>
    <w:p w14:paraId="287C54F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Gini} = 1 - \sum_{</w:t>
      </w:r>
      <w:proofErr w:type="spellStart"/>
      <w:r w:rsidRPr="00043AF0">
        <w:rPr>
          <w:rFonts w:ascii="Times New Roman" w:hAnsi="Times New Roman" w:cs="Times New Roman"/>
          <w:sz w:val="20"/>
          <w:szCs w:val="20"/>
        </w:rPr>
        <w:t>i</w:t>
      </w:r>
      <w:proofErr w:type="spellEnd"/>
      <w:r w:rsidRPr="00043AF0">
        <w:rPr>
          <w:rFonts w:ascii="Times New Roman" w:hAnsi="Times New Roman" w:cs="Times New Roman"/>
          <w:sz w:val="20"/>
          <w:szCs w:val="20"/>
        </w:rPr>
        <w:t>=</w:t>
      </w:r>
      <w:proofErr w:type="gramStart"/>
      <w:r w:rsidRPr="00043AF0">
        <w:rPr>
          <w:rFonts w:ascii="Times New Roman" w:hAnsi="Times New Roman" w:cs="Times New Roman"/>
          <w:sz w:val="20"/>
          <w:szCs w:val="20"/>
        </w:rPr>
        <w:t>1}^</w:t>
      </w:r>
      <w:proofErr w:type="gramEnd"/>
      <w:r w:rsidRPr="00043AF0">
        <w:rPr>
          <w:rFonts w:ascii="Times New Roman" w:hAnsi="Times New Roman" w:cs="Times New Roman"/>
          <w:sz w:val="20"/>
          <w:szCs w:val="20"/>
        </w:rPr>
        <w:t>{C} p_i^2$$</w:t>
      </w:r>
    </w:p>
    <w:p w14:paraId="44D540C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where $</w:t>
      </w:r>
      <w:proofErr w:type="spellStart"/>
      <w:r w:rsidRPr="00043AF0">
        <w:rPr>
          <w:rFonts w:ascii="Times New Roman" w:hAnsi="Times New Roman" w:cs="Times New Roman"/>
          <w:sz w:val="20"/>
          <w:szCs w:val="20"/>
        </w:rPr>
        <w:t>p_i</w:t>
      </w:r>
      <w:proofErr w:type="spellEnd"/>
      <w:r w:rsidRPr="00043AF0">
        <w:rPr>
          <w:rFonts w:ascii="Times New Roman" w:hAnsi="Times New Roman" w:cs="Times New Roman"/>
          <w:sz w:val="20"/>
          <w:szCs w:val="20"/>
        </w:rPr>
        <w:t xml:space="preserve">$ is the proportion of samples belonging to class </w:t>
      </w:r>
      <w:proofErr w:type="spellStart"/>
      <w:r w:rsidRPr="00043AF0">
        <w:rPr>
          <w:rFonts w:ascii="Times New Roman" w:hAnsi="Times New Roman" w:cs="Times New Roman"/>
          <w:i/>
          <w:iCs/>
          <w:sz w:val="20"/>
          <w:szCs w:val="20"/>
        </w:rPr>
        <w:t>i</w:t>
      </w:r>
      <w:proofErr w:type="spellEnd"/>
      <w:r w:rsidRPr="00043AF0">
        <w:rPr>
          <w:rFonts w:ascii="Times New Roman" w:hAnsi="Times New Roman" w:cs="Times New Roman"/>
          <w:sz w:val="20"/>
          <w:szCs w:val="20"/>
        </w:rPr>
        <w:t xml:space="preserve"> at the node, and </w:t>
      </w:r>
      <w:r w:rsidRPr="00043AF0">
        <w:rPr>
          <w:rFonts w:ascii="Times New Roman" w:hAnsi="Times New Roman" w:cs="Times New Roman"/>
          <w:i/>
          <w:iCs/>
          <w:sz w:val="20"/>
          <w:szCs w:val="20"/>
        </w:rPr>
        <w:t>C</w:t>
      </w:r>
      <w:r w:rsidRPr="00043AF0">
        <w:rPr>
          <w:rFonts w:ascii="Times New Roman" w:hAnsi="Times New Roman" w:cs="Times New Roman"/>
          <w:sz w:val="20"/>
          <w:szCs w:val="20"/>
        </w:rPr>
        <w:t xml:space="preserve"> is the number of classes (2 in binary classification). The best split maximizes information gain, defined as the reduction in weighted average Gini impurity.</w:t>
      </w:r>
    </w:p>
    <w:p w14:paraId="44230E7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TABLE III: HYPERPARAMETER CONFIGURATION</w:t>
      </w:r>
    </w:p>
    <w:tbl>
      <w:tblPr>
        <w:tblStyle w:val="TableGrid"/>
        <w:tblW w:w="0" w:type="auto"/>
        <w:tblLook w:val="04A0" w:firstRow="1" w:lastRow="0" w:firstColumn="1" w:lastColumn="0" w:noHBand="0" w:noVBand="1"/>
      </w:tblPr>
      <w:tblGrid>
        <w:gridCol w:w="1716"/>
        <w:gridCol w:w="927"/>
        <w:gridCol w:w="2380"/>
      </w:tblGrid>
      <w:tr w:rsidR="00043AF0" w:rsidRPr="00043AF0" w14:paraId="6EDA1374" w14:textId="77777777" w:rsidTr="00FA4A69">
        <w:tc>
          <w:tcPr>
            <w:tcW w:w="0" w:type="auto"/>
            <w:hideMark/>
          </w:tcPr>
          <w:p w14:paraId="0FEE2ACC"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Parameter</w:t>
            </w:r>
          </w:p>
        </w:tc>
        <w:tc>
          <w:tcPr>
            <w:tcW w:w="0" w:type="auto"/>
            <w:hideMark/>
          </w:tcPr>
          <w:p w14:paraId="3EEC7F7E"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Value</w:t>
            </w:r>
          </w:p>
        </w:tc>
        <w:tc>
          <w:tcPr>
            <w:tcW w:w="0" w:type="auto"/>
            <w:hideMark/>
          </w:tcPr>
          <w:p w14:paraId="11E3E522"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Rationale</w:t>
            </w:r>
          </w:p>
        </w:tc>
      </w:tr>
      <w:tr w:rsidR="00043AF0" w:rsidRPr="00043AF0" w14:paraId="0B431537" w14:textId="77777777" w:rsidTr="00FA4A69">
        <w:tc>
          <w:tcPr>
            <w:tcW w:w="0" w:type="auto"/>
            <w:hideMark/>
          </w:tcPr>
          <w:p w14:paraId="3F293BA2"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n_estimators</w:t>
            </w:r>
            <w:proofErr w:type="spellEnd"/>
          </w:p>
        </w:tc>
        <w:tc>
          <w:tcPr>
            <w:tcW w:w="0" w:type="auto"/>
            <w:hideMark/>
          </w:tcPr>
          <w:p w14:paraId="2BE17E4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100</w:t>
            </w:r>
          </w:p>
        </w:tc>
        <w:tc>
          <w:tcPr>
            <w:tcW w:w="0" w:type="auto"/>
            <w:hideMark/>
          </w:tcPr>
          <w:p w14:paraId="04B768F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Balance between performance and computational cost</w:t>
            </w:r>
          </w:p>
        </w:tc>
      </w:tr>
      <w:tr w:rsidR="00043AF0" w:rsidRPr="00043AF0" w14:paraId="61C0BCB2" w14:textId="77777777" w:rsidTr="00FA4A69">
        <w:tc>
          <w:tcPr>
            <w:tcW w:w="0" w:type="auto"/>
            <w:hideMark/>
          </w:tcPr>
          <w:p w14:paraId="2791A304"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max_depth</w:t>
            </w:r>
            <w:proofErr w:type="spellEnd"/>
          </w:p>
        </w:tc>
        <w:tc>
          <w:tcPr>
            <w:tcW w:w="0" w:type="auto"/>
            <w:hideMark/>
          </w:tcPr>
          <w:p w14:paraId="1927A79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10</w:t>
            </w:r>
          </w:p>
        </w:tc>
        <w:tc>
          <w:tcPr>
            <w:tcW w:w="0" w:type="auto"/>
            <w:hideMark/>
          </w:tcPr>
          <w:p w14:paraId="2155559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Prevent overfitting while allowing complex patterns</w:t>
            </w:r>
          </w:p>
        </w:tc>
      </w:tr>
      <w:tr w:rsidR="00043AF0" w:rsidRPr="00043AF0" w14:paraId="491B9402" w14:textId="77777777" w:rsidTr="00FA4A69">
        <w:tc>
          <w:tcPr>
            <w:tcW w:w="0" w:type="auto"/>
            <w:hideMark/>
          </w:tcPr>
          <w:p w14:paraId="3A13DFC4"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min_samples_split</w:t>
            </w:r>
            <w:proofErr w:type="spellEnd"/>
          </w:p>
        </w:tc>
        <w:tc>
          <w:tcPr>
            <w:tcW w:w="0" w:type="auto"/>
            <w:hideMark/>
          </w:tcPr>
          <w:p w14:paraId="277C39A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w:t>
            </w:r>
          </w:p>
        </w:tc>
        <w:tc>
          <w:tcPr>
            <w:tcW w:w="0" w:type="auto"/>
            <w:hideMark/>
          </w:tcPr>
          <w:p w14:paraId="63BC47C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Default; allows granular splitting</w:t>
            </w:r>
          </w:p>
        </w:tc>
      </w:tr>
      <w:tr w:rsidR="00043AF0" w:rsidRPr="00043AF0" w14:paraId="0ADCD061" w14:textId="77777777" w:rsidTr="00FA4A69">
        <w:tc>
          <w:tcPr>
            <w:tcW w:w="0" w:type="auto"/>
            <w:hideMark/>
          </w:tcPr>
          <w:p w14:paraId="4209F954"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min_samples_leaf</w:t>
            </w:r>
            <w:proofErr w:type="spellEnd"/>
          </w:p>
        </w:tc>
        <w:tc>
          <w:tcPr>
            <w:tcW w:w="0" w:type="auto"/>
            <w:hideMark/>
          </w:tcPr>
          <w:p w14:paraId="13AED4E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w:t>
            </w:r>
          </w:p>
        </w:tc>
        <w:tc>
          <w:tcPr>
            <w:tcW w:w="0" w:type="auto"/>
            <w:hideMark/>
          </w:tcPr>
          <w:p w14:paraId="3529422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Allows fine-grained decisions</w:t>
            </w:r>
          </w:p>
        </w:tc>
      </w:tr>
      <w:tr w:rsidR="00043AF0" w:rsidRPr="00043AF0" w14:paraId="18B33C28" w14:textId="77777777" w:rsidTr="00FA4A69">
        <w:tc>
          <w:tcPr>
            <w:tcW w:w="0" w:type="auto"/>
            <w:hideMark/>
          </w:tcPr>
          <w:p w14:paraId="5432E1C5"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max_features</w:t>
            </w:r>
            <w:proofErr w:type="spellEnd"/>
          </w:p>
        </w:tc>
        <w:tc>
          <w:tcPr>
            <w:tcW w:w="0" w:type="auto"/>
            <w:hideMark/>
          </w:tcPr>
          <w:p w14:paraId="3F0C15D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sqrt</w:t>
            </w:r>
          </w:p>
        </w:tc>
        <w:tc>
          <w:tcPr>
            <w:tcW w:w="0" w:type="auto"/>
            <w:hideMark/>
          </w:tcPr>
          <w:p w14:paraId="4DAD9ED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Random subset size = √14 ≈ 4 features per split</w:t>
            </w:r>
          </w:p>
        </w:tc>
      </w:tr>
      <w:tr w:rsidR="00043AF0" w:rsidRPr="00043AF0" w14:paraId="7DFC40CE" w14:textId="77777777" w:rsidTr="00FA4A69">
        <w:tc>
          <w:tcPr>
            <w:tcW w:w="0" w:type="auto"/>
            <w:hideMark/>
          </w:tcPr>
          <w:p w14:paraId="2F1777CA"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class_weight</w:t>
            </w:r>
            <w:proofErr w:type="spellEnd"/>
          </w:p>
        </w:tc>
        <w:tc>
          <w:tcPr>
            <w:tcW w:w="0" w:type="auto"/>
            <w:hideMark/>
          </w:tcPr>
          <w:p w14:paraId="325B4F2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balanced</w:t>
            </w:r>
          </w:p>
        </w:tc>
        <w:tc>
          <w:tcPr>
            <w:tcW w:w="0" w:type="auto"/>
            <w:hideMark/>
          </w:tcPr>
          <w:p w14:paraId="73F7A18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Compensate for class imbalance (65.3% UP vs 34.7% DOWN)</w:t>
            </w:r>
          </w:p>
        </w:tc>
      </w:tr>
      <w:tr w:rsidR="00043AF0" w:rsidRPr="00043AF0" w14:paraId="653DCB0B" w14:textId="77777777" w:rsidTr="00FA4A69">
        <w:tc>
          <w:tcPr>
            <w:tcW w:w="0" w:type="auto"/>
            <w:hideMark/>
          </w:tcPr>
          <w:p w14:paraId="514F28C7"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random_state</w:t>
            </w:r>
            <w:proofErr w:type="spellEnd"/>
          </w:p>
        </w:tc>
        <w:tc>
          <w:tcPr>
            <w:tcW w:w="0" w:type="auto"/>
            <w:hideMark/>
          </w:tcPr>
          <w:p w14:paraId="64DC439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42</w:t>
            </w:r>
          </w:p>
        </w:tc>
        <w:tc>
          <w:tcPr>
            <w:tcW w:w="0" w:type="auto"/>
            <w:hideMark/>
          </w:tcPr>
          <w:p w14:paraId="7118F36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Ensure reproducibility</w:t>
            </w:r>
          </w:p>
        </w:tc>
      </w:tr>
      <w:tr w:rsidR="00043AF0" w:rsidRPr="00043AF0" w14:paraId="2B58AF97" w14:textId="77777777" w:rsidTr="00FA4A69">
        <w:tc>
          <w:tcPr>
            <w:tcW w:w="0" w:type="auto"/>
            <w:hideMark/>
          </w:tcPr>
          <w:p w14:paraId="0EA35A1D"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n_jobs</w:t>
            </w:r>
            <w:proofErr w:type="spellEnd"/>
          </w:p>
        </w:tc>
        <w:tc>
          <w:tcPr>
            <w:tcW w:w="0" w:type="auto"/>
            <w:hideMark/>
          </w:tcPr>
          <w:p w14:paraId="2BC4BA5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w:t>
            </w:r>
          </w:p>
        </w:tc>
        <w:tc>
          <w:tcPr>
            <w:tcW w:w="0" w:type="auto"/>
            <w:hideMark/>
          </w:tcPr>
          <w:p w14:paraId="352D711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Parallel processing using all CPU cores</w:t>
            </w:r>
          </w:p>
        </w:tc>
      </w:tr>
    </w:tbl>
    <w:p w14:paraId="0454EFB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The </w:t>
      </w:r>
      <w:proofErr w:type="spellStart"/>
      <w:r w:rsidRPr="00043AF0">
        <w:rPr>
          <w:rFonts w:ascii="Times New Roman" w:hAnsi="Times New Roman" w:cs="Times New Roman"/>
          <w:sz w:val="20"/>
          <w:szCs w:val="20"/>
        </w:rPr>
        <w:t>class_weight</w:t>
      </w:r>
      <w:proofErr w:type="spellEnd"/>
      <w:r w:rsidRPr="00043AF0">
        <w:rPr>
          <w:rFonts w:ascii="Times New Roman" w:hAnsi="Times New Roman" w:cs="Times New Roman"/>
          <w:sz w:val="20"/>
          <w:szCs w:val="20"/>
        </w:rPr>
        <w:t>='balanced' parameter is particularly important given the class imbalance (65.3% UP in test set). This parameter assigns weights inversely proportional to class frequencies:</w:t>
      </w:r>
    </w:p>
    <w:p w14:paraId="497D6B1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t>
      </w:r>
      <w:proofErr w:type="spellStart"/>
      <w:r w:rsidRPr="00043AF0">
        <w:rPr>
          <w:rFonts w:ascii="Times New Roman" w:hAnsi="Times New Roman" w:cs="Times New Roman"/>
          <w:sz w:val="20"/>
          <w:szCs w:val="20"/>
        </w:rPr>
        <w:t>w_i</w:t>
      </w:r>
      <w:proofErr w:type="spellEnd"/>
      <w:r w:rsidRPr="00043AF0">
        <w:rPr>
          <w:rFonts w:ascii="Times New Roman" w:hAnsi="Times New Roman" w:cs="Times New Roman"/>
          <w:sz w:val="20"/>
          <w:szCs w:val="20"/>
        </w:rPr>
        <w:t xml:space="preserve"> = \frac{n_{\text{samples}</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n_{\text{classes}} \times n_{\text{samples}_</w:t>
      </w:r>
      <w:proofErr w:type="spellStart"/>
      <w:r w:rsidRPr="00043AF0">
        <w:rPr>
          <w:rFonts w:ascii="Times New Roman" w:hAnsi="Times New Roman" w:cs="Times New Roman"/>
          <w:sz w:val="20"/>
          <w:szCs w:val="20"/>
        </w:rPr>
        <w:t>i</w:t>
      </w:r>
      <w:proofErr w:type="spellEnd"/>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w:t>
      </w:r>
    </w:p>
    <w:p w14:paraId="6B81435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This prevents the model from simply predicting the majority class to maximize accuracy, forcing it to learn discriminative patterns for both classes.</w:t>
      </w:r>
    </w:p>
    <w:p w14:paraId="59023EF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Each tree is trained independently with no iterative optimization (unlike neural networks that require multiple epochs). Training time is approximately 2 minutes on a standard multi-core CPU for the full dataset of 187,343 training samples. This computational efficiency makes Random Forest practical for rapid experimentation and potential real-time applications.</w:t>
      </w:r>
    </w:p>
    <w:p w14:paraId="4636976B"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E. Baseline Models</w:t>
      </w:r>
    </w:p>
    <w:p w14:paraId="375BD03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Two baseline models establish performance context:</w:t>
      </w:r>
    </w:p>
    <w:p w14:paraId="584FC0D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1. Always-UP Baseline</w:t>
      </w:r>
      <w:r w:rsidRPr="00043AF0">
        <w:rPr>
          <w:rFonts w:ascii="Times New Roman" w:hAnsi="Times New Roman" w:cs="Times New Roman"/>
          <w:sz w:val="20"/>
          <w:szCs w:val="20"/>
        </w:rPr>
        <w:t>: Predicts class 1 (UP) for all samples. In the test set where 65.3% of samples are UP, this achieves 65.3% accuracy but ROC-AUC of exactly 0.50 (random discrimination). This baseline exposes the danger of using accuracy as the primary metric for imbalanced data.</w:t>
      </w:r>
    </w:p>
    <w:p w14:paraId="06A609C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2. Momentum Strategy</w:t>
      </w:r>
      <w:r w:rsidRPr="00043AF0">
        <w:rPr>
          <w:rFonts w:ascii="Times New Roman" w:hAnsi="Times New Roman" w:cs="Times New Roman"/>
          <w:sz w:val="20"/>
          <w:szCs w:val="20"/>
        </w:rPr>
        <w:t>: A simple technical rule predicting based on 20-day return:</w:t>
      </w:r>
    </w:p>
    <w:p w14:paraId="2AD1823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$$\hat{y}</w:t>
      </w:r>
      <w:r w:rsidRPr="00043AF0">
        <w:rPr>
          <w:rFonts w:ascii="Times New Roman" w:hAnsi="Times New Roman" w:cs="Times New Roman"/>
          <w:i/>
          <w:iCs/>
          <w:sz w:val="20"/>
          <w:szCs w:val="20"/>
        </w:rPr>
        <w:t>t = \begin{cases} 1, &amp; \</w:t>
      </w:r>
      <w:proofErr w:type="gramStart"/>
      <w:r w:rsidRPr="00043AF0">
        <w:rPr>
          <w:rFonts w:ascii="Times New Roman" w:hAnsi="Times New Roman" w:cs="Times New Roman"/>
          <w:i/>
          <w:iCs/>
          <w:sz w:val="20"/>
          <w:szCs w:val="20"/>
        </w:rPr>
        <w:t>text{</w:t>
      </w:r>
      <w:proofErr w:type="gramEnd"/>
      <w:r w:rsidRPr="00043AF0">
        <w:rPr>
          <w:rFonts w:ascii="Times New Roman" w:hAnsi="Times New Roman" w:cs="Times New Roman"/>
          <w:i/>
          <w:iCs/>
          <w:sz w:val="20"/>
          <w:szCs w:val="20"/>
        </w:rPr>
        <w:t xml:space="preserve">if </w:t>
      </w:r>
      <w:proofErr w:type="gramStart"/>
      <w:r w:rsidRPr="00043AF0">
        <w:rPr>
          <w:rFonts w:ascii="Times New Roman" w:hAnsi="Times New Roman" w:cs="Times New Roman"/>
          <w:i/>
          <w:iCs/>
          <w:sz w:val="20"/>
          <w:szCs w:val="20"/>
        </w:rPr>
        <w:t>return}</w:t>
      </w:r>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\text{20d}} &gt; 0 \ 0, &amp; \text{otherwise} \end{cases}$$</w:t>
      </w:r>
    </w:p>
    <w:p w14:paraId="427E366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This represents a basic trend-following heuristic commonly used in quantitative trading. Its performance provides context for whether machine learning offers meaningful improvement over simple rules.</w:t>
      </w:r>
    </w:p>
    <w:p w14:paraId="7EFACC6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3. Logistic Regression</w:t>
      </w:r>
      <w:r w:rsidRPr="00043AF0">
        <w:rPr>
          <w:rFonts w:ascii="Times New Roman" w:hAnsi="Times New Roman" w:cs="Times New Roman"/>
          <w:sz w:val="20"/>
          <w:szCs w:val="20"/>
        </w:rPr>
        <w:t>: A linear baseline using the same 14 features. Comparison against logistic regression isolates the benefit of Random Forest's non-linear modeling capability versus simple linear combinations of features.</w:t>
      </w:r>
    </w:p>
    <w:p w14:paraId="767FD52B" w14:textId="77777777" w:rsidR="00043AF0" w:rsidRPr="00043AF0" w:rsidRDefault="00000000" w:rsidP="00043AF0">
      <w:pPr>
        <w:jc w:val="both"/>
        <w:rPr>
          <w:rFonts w:ascii="Times New Roman" w:hAnsi="Times New Roman" w:cs="Times New Roman"/>
          <w:sz w:val="20"/>
          <w:szCs w:val="20"/>
        </w:rPr>
      </w:pPr>
      <w:r>
        <w:rPr>
          <w:rFonts w:ascii="Times New Roman" w:hAnsi="Times New Roman" w:cs="Times New Roman"/>
          <w:sz w:val="20"/>
          <w:szCs w:val="20"/>
        </w:rPr>
        <w:pict w14:anchorId="0F83B815">
          <v:rect id="_x0000_i1025" style="width:0;height:1.5pt" o:hralign="center" o:hrstd="t" o:hr="t" fillcolor="#a0a0a0" stroked="f"/>
        </w:pict>
      </w:r>
    </w:p>
    <w:p w14:paraId="2121BF58"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IV. EXPERIMENTAL SETUP</w:t>
      </w:r>
    </w:p>
    <w:p w14:paraId="26B65C07"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 Data Preprocessing</w:t>
      </w:r>
    </w:p>
    <w:p w14:paraId="3CF52FD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preprocessing pipeline ensures data quality and prevents information leakage:</w:t>
      </w:r>
    </w:p>
    <w:p w14:paraId="253926E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1. Data Cleaning</w:t>
      </w:r>
      <w:r w:rsidRPr="00043AF0">
        <w:rPr>
          <w:rFonts w:ascii="Times New Roman" w:hAnsi="Times New Roman" w:cs="Times New Roman"/>
          <w:sz w:val="20"/>
          <w:szCs w:val="20"/>
        </w:rPr>
        <w:t>:</w:t>
      </w:r>
    </w:p>
    <w:p w14:paraId="1C95E63A" w14:textId="77777777" w:rsidR="00043AF0" w:rsidRPr="00043AF0" w:rsidRDefault="00043AF0" w:rsidP="00043AF0">
      <w:pPr>
        <w:numPr>
          <w:ilvl w:val="0"/>
          <w:numId w:val="2"/>
        </w:numPr>
        <w:jc w:val="both"/>
        <w:rPr>
          <w:rFonts w:ascii="Times New Roman" w:hAnsi="Times New Roman" w:cs="Times New Roman"/>
          <w:sz w:val="20"/>
          <w:szCs w:val="20"/>
        </w:rPr>
      </w:pPr>
      <w:r w:rsidRPr="00043AF0">
        <w:rPr>
          <w:rFonts w:ascii="Times New Roman" w:hAnsi="Times New Roman" w:cs="Times New Roman"/>
          <w:sz w:val="20"/>
          <w:szCs w:val="20"/>
        </w:rPr>
        <w:t>Remove all pre-calculated fundamental indicators (P/E ratio, earnings, market cap) to prevent data leakage from forward-looking fundamentals</w:t>
      </w:r>
    </w:p>
    <w:p w14:paraId="3DADFA0A" w14:textId="77777777" w:rsidR="00043AF0" w:rsidRPr="00043AF0" w:rsidRDefault="00043AF0" w:rsidP="00043AF0">
      <w:pPr>
        <w:numPr>
          <w:ilvl w:val="0"/>
          <w:numId w:val="2"/>
        </w:numPr>
        <w:jc w:val="both"/>
        <w:rPr>
          <w:rFonts w:ascii="Times New Roman" w:hAnsi="Times New Roman" w:cs="Times New Roman"/>
          <w:sz w:val="20"/>
          <w:szCs w:val="20"/>
        </w:rPr>
      </w:pPr>
      <w:r w:rsidRPr="00043AF0">
        <w:rPr>
          <w:rFonts w:ascii="Times New Roman" w:hAnsi="Times New Roman" w:cs="Times New Roman"/>
          <w:sz w:val="20"/>
          <w:szCs w:val="20"/>
        </w:rPr>
        <w:t>Retain only raw OHLCV and Volume data</w:t>
      </w:r>
    </w:p>
    <w:p w14:paraId="433EF1D9" w14:textId="77777777" w:rsidR="007D23E1" w:rsidRDefault="00043AF0" w:rsidP="00043AF0">
      <w:pPr>
        <w:numPr>
          <w:ilvl w:val="0"/>
          <w:numId w:val="2"/>
        </w:numPr>
        <w:jc w:val="both"/>
        <w:rPr>
          <w:rFonts w:ascii="Times New Roman" w:hAnsi="Times New Roman" w:cs="Times New Roman"/>
          <w:sz w:val="20"/>
          <w:szCs w:val="20"/>
        </w:rPr>
      </w:pPr>
      <w:r w:rsidRPr="00043AF0">
        <w:rPr>
          <w:rFonts w:ascii="Times New Roman" w:hAnsi="Times New Roman" w:cs="Times New Roman"/>
          <w:sz w:val="20"/>
          <w:szCs w:val="20"/>
        </w:rPr>
        <w:t>Drop rows with missing OHLCV values (0.8% of data)</w:t>
      </w:r>
    </w:p>
    <w:p w14:paraId="756EB5DC" w14:textId="26270D88" w:rsidR="00043AF0" w:rsidRPr="00C8361E" w:rsidRDefault="00043AF0" w:rsidP="00043AF0">
      <w:pPr>
        <w:numPr>
          <w:ilvl w:val="0"/>
          <w:numId w:val="2"/>
        </w:numPr>
        <w:jc w:val="both"/>
        <w:rPr>
          <w:rFonts w:ascii="Times New Roman" w:hAnsi="Times New Roman" w:cs="Times New Roman"/>
          <w:sz w:val="20"/>
          <w:szCs w:val="20"/>
        </w:rPr>
      </w:pPr>
      <w:r w:rsidRPr="00C8361E">
        <w:rPr>
          <w:rFonts w:ascii="Times New Roman" w:hAnsi="Times New Roman" w:cs="Times New Roman"/>
          <w:b/>
          <w:bCs/>
          <w:sz w:val="20"/>
          <w:szCs w:val="20"/>
        </w:rPr>
        <w:lastRenderedPageBreak/>
        <w:t>2. Feature Calculation</w:t>
      </w:r>
      <w:r w:rsidRPr="00C8361E">
        <w:rPr>
          <w:rFonts w:ascii="Times New Roman" w:hAnsi="Times New Roman" w:cs="Times New Roman"/>
          <w:sz w:val="20"/>
          <w:szCs w:val="20"/>
        </w:rPr>
        <w:t>:</w:t>
      </w:r>
    </w:p>
    <w:p w14:paraId="3343AC9D" w14:textId="77777777" w:rsidR="00043AF0" w:rsidRPr="00043AF0" w:rsidRDefault="00043AF0" w:rsidP="00043AF0">
      <w:pPr>
        <w:numPr>
          <w:ilvl w:val="0"/>
          <w:numId w:val="3"/>
        </w:numPr>
        <w:jc w:val="both"/>
        <w:rPr>
          <w:rFonts w:ascii="Times New Roman" w:hAnsi="Times New Roman" w:cs="Times New Roman"/>
          <w:sz w:val="20"/>
          <w:szCs w:val="20"/>
        </w:rPr>
      </w:pPr>
      <w:r w:rsidRPr="00043AF0">
        <w:rPr>
          <w:rFonts w:ascii="Times New Roman" w:hAnsi="Times New Roman" w:cs="Times New Roman"/>
          <w:sz w:val="20"/>
          <w:szCs w:val="20"/>
        </w:rPr>
        <w:t>Compute 14 technical indicators according to Table II</w:t>
      </w:r>
    </w:p>
    <w:p w14:paraId="4641C7E5" w14:textId="77777777" w:rsidR="00043AF0" w:rsidRPr="00043AF0" w:rsidRDefault="00043AF0" w:rsidP="00043AF0">
      <w:pPr>
        <w:numPr>
          <w:ilvl w:val="0"/>
          <w:numId w:val="3"/>
        </w:numPr>
        <w:jc w:val="both"/>
        <w:rPr>
          <w:rFonts w:ascii="Times New Roman" w:hAnsi="Times New Roman" w:cs="Times New Roman"/>
          <w:sz w:val="20"/>
          <w:szCs w:val="20"/>
        </w:rPr>
      </w:pPr>
      <w:r w:rsidRPr="00043AF0">
        <w:rPr>
          <w:rFonts w:ascii="Times New Roman" w:hAnsi="Times New Roman" w:cs="Times New Roman"/>
          <w:sz w:val="20"/>
          <w:szCs w:val="20"/>
        </w:rPr>
        <w:t>Ensure each feature uses only historical data (strict temporal ordering)</w:t>
      </w:r>
    </w:p>
    <w:p w14:paraId="649E7342" w14:textId="77777777" w:rsidR="00043AF0" w:rsidRPr="00043AF0" w:rsidRDefault="00043AF0" w:rsidP="00043AF0">
      <w:pPr>
        <w:numPr>
          <w:ilvl w:val="0"/>
          <w:numId w:val="3"/>
        </w:numPr>
        <w:jc w:val="both"/>
        <w:rPr>
          <w:rFonts w:ascii="Times New Roman" w:hAnsi="Times New Roman" w:cs="Times New Roman"/>
          <w:sz w:val="20"/>
          <w:szCs w:val="20"/>
        </w:rPr>
      </w:pPr>
      <w:r w:rsidRPr="00043AF0">
        <w:rPr>
          <w:rFonts w:ascii="Times New Roman" w:hAnsi="Times New Roman" w:cs="Times New Roman"/>
          <w:sz w:val="20"/>
          <w:szCs w:val="20"/>
        </w:rPr>
        <w:t>Remove initial rows with insufficient history (e.g., first 200 days cannot compute MA-200)</w:t>
      </w:r>
    </w:p>
    <w:p w14:paraId="2DB8875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3. Target Variable Creation</w:t>
      </w:r>
      <w:r w:rsidRPr="00043AF0">
        <w:rPr>
          <w:rFonts w:ascii="Times New Roman" w:hAnsi="Times New Roman" w:cs="Times New Roman"/>
          <w:sz w:val="20"/>
          <w:szCs w:val="20"/>
        </w:rPr>
        <w:t>:</w:t>
      </w:r>
    </w:p>
    <w:p w14:paraId="1B2DD334" w14:textId="77777777" w:rsidR="00043AF0" w:rsidRPr="00043AF0" w:rsidRDefault="00043AF0" w:rsidP="00043AF0">
      <w:pPr>
        <w:numPr>
          <w:ilvl w:val="0"/>
          <w:numId w:val="4"/>
        </w:numPr>
        <w:jc w:val="both"/>
        <w:rPr>
          <w:rFonts w:ascii="Times New Roman" w:hAnsi="Times New Roman" w:cs="Times New Roman"/>
          <w:sz w:val="20"/>
          <w:szCs w:val="20"/>
        </w:rPr>
      </w:pPr>
      <w:r w:rsidRPr="00043AF0">
        <w:rPr>
          <w:rFonts w:ascii="Times New Roman" w:hAnsi="Times New Roman" w:cs="Times New Roman"/>
          <w:sz w:val="20"/>
          <w:szCs w:val="20"/>
        </w:rPr>
        <w:t xml:space="preserve">For each row at time </w:t>
      </w:r>
      <w:r w:rsidRPr="00043AF0">
        <w:rPr>
          <w:rFonts w:ascii="Times New Roman" w:hAnsi="Times New Roman" w:cs="Times New Roman"/>
          <w:i/>
          <w:iCs/>
          <w:sz w:val="20"/>
          <w:szCs w:val="20"/>
        </w:rPr>
        <w:t>t</w:t>
      </w:r>
      <w:r w:rsidRPr="00043AF0">
        <w:rPr>
          <w:rFonts w:ascii="Times New Roman" w:hAnsi="Times New Roman" w:cs="Times New Roman"/>
          <w:sz w:val="20"/>
          <w:szCs w:val="20"/>
        </w:rPr>
        <w:t xml:space="preserve">, calculate closing price at time </w:t>
      </w:r>
      <w:r w:rsidRPr="00043AF0">
        <w:rPr>
          <w:rFonts w:ascii="Times New Roman" w:hAnsi="Times New Roman" w:cs="Times New Roman"/>
          <w:i/>
          <w:iCs/>
          <w:sz w:val="20"/>
          <w:szCs w:val="20"/>
        </w:rPr>
        <w:t>t+60</w:t>
      </w:r>
    </w:p>
    <w:p w14:paraId="480C3241" w14:textId="77777777" w:rsidR="00043AF0" w:rsidRPr="00043AF0" w:rsidRDefault="00043AF0" w:rsidP="00043AF0">
      <w:pPr>
        <w:numPr>
          <w:ilvl w:val="0"/>
          <w:numId w:val="4"/>
        </w:numPr>
        <w:jc w:val="both"/>
        <w:rPr>
          <w:rFonts w:ascii="Times New Roman" w:hAnsi="Times New Roman" w:cs="Times New Roman"/>
          <w:sz w:val="20"/>
          <w:szCs w:val="20"/>
        </w:rPr>
      </w:pPr>
      <w:r w:rsidRPr="00043AF0">
        <w:rPr>
          <w:rFonts w:ascii="Times New Roman" w:hAnsi="Times New Roman" w:cs="Times New Roman"/>
          <w:sz w:val="20"/>
          <w:szCs w:val="20"/>
        </w:rPr>
        <w:t xml:space="preserve">Create binary label: 1 if $P_{t+60} &gt; </w:t>
      </w:r>
      <w:proofErr w:type="spellStart"/>
      <w:r w:rsidRPr="00043AF0">
        <w:rPr>
          <w:rFonts w:ascii="Times New Roman" w:hAnsi="Times New Roman" w:cs="Times New Roman"/>
          <w:sz w:val="20"/>
          <w:szCs w:val="20"/>
        </w:rPr>
        <w:t>P_t</w:t>
      </w:r>
      <w:proofErr w:type="spellEnd"/>
      <w:r w:rsidRPr="00043AF0">
        <w:rPr>
          <w:rFonts w:ascii="Times New Roman" w:hAnsi="Times New Roman" w:cs="Times New Roman"/>
          <w:sz w:val="20"/>
          <w:szCs w:val="20"/>
        </w:rPr>
        <w:t>$, else 0</w:t>
      </w:r>
    </w:p>
    <w:p w14:paraId="16F0C294" w14:textId="77777777" w:rsidR="00043AF0" w:rsidRPr="00043AF0" w:rsidRDefault="00043AF0" w:rsidP="00043AF0">
      <w:pPr>
        <w:numPr>
          <w:ilvl w:val="0"/>
          <w:numId w:val="4"/>
        </w:numPr>
        <w:jc w:val="both"/>
        <w:rPr>
          <w:rFonts w:ascii="Times New Roman" w:hAnsi="Times New Roman" w:cs="Times New Roman"/>
          <w:sz w:val="20"/>
          <w:szCs w:val="20"/>
        </w:rPr>
      </w:pPr>
      <w:r w:rsidRPr="00043AF0">
        <w:rPr>
          <w:rFonts w:ascii="Times New Roman" w:hAnsi="Times New Roman" w:cs="Times New Roman"/>
          <w:sz w:val="20"/>
          <w:szCs w:val="20"/>
        </w:rPr>
        <w:t>Remove final 60 days per stock (insufficient lookahead for target calculation)</w:t>
      </w:r>
    </w:p>
    <w:p w14:paraId="2D656EE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4. Feature Scaling</w:t>
      </w:r>
      <w:r w:rsidRPr="00043AF0">
        <w:rPr>
          <w:rFonts w:ascii="Times New Roman" w:hAnsi="Times New Roman" w:cs="Times New Roman"/>
          <w:sz w:val="20"/>
          <w:szCs w:val="20"/>
        </w:rPr>
        <w:t>:</w:t>
      </w:r>
    </w:p>
    <w:p w14:paraId="275B4950" w14:textId="77777777" w:rsidR="00043AF0" w:rsidRPr="00043AF0" w:rsidRDefault="00043AF0" w:rsidP="00043AF0">
      <w:pPr>
        <w:numPr>
          <w:ilvl w:val="0"/>
          <w:numId w:val="5"/>
        </w:numPr>
        <w:jc w:val="both"/>
        <w:rPr>
          <w:rFonts w:ascii="Times New Roman" w:hAnsi="Times New Roman" w:cs="Times New Roman"/>
          <w:sz w:val="20"/>
          <w:szCs w:val="20"/>
        </w:rPr>
      </w:pPr>
      <w:r w:rsidRPr="00043AF0">
        <w:rPr>
          <w:rFonts w:ascii="Times New Roman" w:hAnsi="Times New Roman" w:cs="Times New Roman"/>
          <w:sz w:val="20"/>
          <w:szCs w:val="20"/>
        </w:rPr>
        <w:t xml:space="preserve">Apply </w:t>
      </w:r>
      <w:proofErr w:type="spellStart"/>
      <w:r w:rsidRPr="00043AF0">
        <w:rPr>
          <w:rFonts w:ascii="Times New Roman" w:hAnsi="Times New Roman" w:cs="Times New Roman"/>
          <w:sz w:val="20"/>
          <w:szCs w:val="20"/>
        </w:rPr>
        <w:t>StandardScaler</w:t>
      </w:r>
      <w:proofErr w:type="spellEnd"/>
      <w:r w:rsidRPr="00043AF0">
        <w:rPr>
          <w:rFonts w:ascii="Times New Roman" w:hAnsi="Times New Roman" w:cs="Times New Roman"/>
          <w:sz w:val="20"/>
          <w:szCs w:val="20"/>
        </w:rPr>
        <w:t xml:space="preserve"> to normalize features to zero mean, unit variance</w:t>
      </w:r>
    </w:p>
    <w:p w14:paraId="741855E8" w14:textId="77777777" w:rsidR="00043AF0" w:rsidRPr="00043AF0" w:rsidRDefault="00043AF0" w:rsidP="00043AF0">
      <w:pPr>
        <w:numPr>
          <w:ilvl w:val="0"/>
          <w:numId w:val="5"/>
        </w:numPr>
        <w:jc w:val="both"/>
        <w:rPr>
          <w:rFonts w:ascii="Times New Roman" w:hAnsi="Times New Roman" w:cs="Times New Roman"/>
          <w:sz w:val="20"/>
          <w:szCs w:val="20"/>
        </w:rPr>
      </w:pPr>
      <w:r w:rsidRPr="00043AF0">
        <w:rPr>
          <w:rFonts w:ascii="Times New Roman" w:hAnsi="Times New Roman" w:cs="Times New Roman"/>
          <w:sz w:val="20"/>
          <w:szCs w:val="20"/>
        </w:rPr>
        <w:t>Fit scaler on training set only</w:t>
      </w:r>
    </w:p>
    <w:p w14:paraId="64A488EF" w14:textId="77777777" w:rsidR="00043AF0" w:rsidRPr="00043AF0" w:rsidRDefault="00043AF0" w:rsidP="00043AF0">
      <w:pPr>
        <w:numPr>
          <w:ilvl w:val="0"/>
          <w:numId w:val="5"/>
        </w:numPr>
        <w:jc w:val="both"/>
        <w:rPr>
          <w:rFonts w:ascii="Times New Roman" w:hAnsi="Times New Roman" w:cs="Times New Roman"/>
          <w:sz w:val="20"/>
          <w:szCs w:val="20"/>
        </w:rPr>
      </w:pPr>
      <w:r w:rsidRPr="00043AF0">
        <w:rPr>
          <w:rFonts w:ascii="Times New Roman" w:hAnsi="Times New Roman" w:cs="Times New Roman"/>
          <w:sz w:val="20"/>
          <w:szCs w:val="20"/>
        </w:rPr>
        <w:t>Transform validation and test sets using training statistics</w:t>
      </w:r>
    </w:p>
    <w:p w14:paraId="17262925" w14:textId="77777777" w:rsidR="00043AF0" w:rsidRPr="00043AF0" w:rsidRDefault="00043AF0" w:rsidP="00043AF0">
      <w:pPr>
        <w:numPr>
          <w:ilvl w:val="0"/>
          <w:numId w:val="5"/>
        </w:numPr>
        <w:jc w:val="both"/>
        <w:rPr>
          <w:rFonts w:ascii="Times New Roman" w:hAnsi="Times New Roman" w:cs="Times New Roman"/>
          <w:sz w:val="20"/>
          <w:szCs w:val="20"/>
        </w:rPr>
      </w:pPr>
      <w:r w:rsidRPr="00043AF0">
        <w:rPr>
          <w:rFonts w:ascii="Times New Roman" w:hAnsi="Times New Roman" w:cs="Times New Roman"/>
          <w:sz w:val="20"/>
          <w:szCs w:val="20"/>
        </w:rPr>
        <w:t>This prevents test set statistics from leaking into the model</w:t>
      </w:r>
    </w:p>
    <w:p w14:paraId="2E052EA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The </w:t>
      </w:r>
      <w:proofErr w:type="spellStart"/>
      <w:r w:rsidRPr="00043AF0">
        <w:rPr>
          <w:rFonts w:ascii="Times New Roman" w:hAnsi="Times New Roman" w:cs="Times New Roman"/>
          <w:sz w:val="20"/>
          <w:szCs w:val="20"/>
        </w:rPr>
        <w:t>StandardScaler</w:t>
      </w:r>
      <w:proofErr w:type="spellEnd"/>
      <w:r w:rsidRPr="00043AF0">
        <w:rPr>
          <w:rFonts w:ascii="Times New Roman" w:hAnsi="Times New Roman" w:cs="Times New Roman"/>
          <w:sz w:val="20"/>
          <w:szCs w:val="20"/>
        </w:rPr>
        <w:t xml:space="preserve"> transformation is:</w:t>
      </w:r>
    </w:p>
    <w:p w14:paraId="17DACD8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$$z = \</w:t>
      </w:r>
      <w:proofErr w:type="gramStart"/>
      <w:r w:rsidRPr="00043AF0">
        <w:rPr>
          <w:rFonts w:ascii="Times New Roman" w:hAnsi="Times New Roman" w:cs="Times New Roman"/>
          <w:sz w:val="20"/>
          <w:szCs w:val="20"/>
        </w:rPr>
        <w:t>frac{</w:t>
      </w:r>
      <w:proofErr w:type="gramEnd"/>
      <w:r w:rsidRPr="00043AF0">
        <w:rPr>
          <w:rFonts w:ascii="Times New Roman" w:hAnsi="Times New Roman" w:cs="Times New Roman"/>
          <w:sz w:val="20"/>
          <w:szCs w:val="20"/>
        </w:rPr>
        <w:t>x - \mu_{\text{train}</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\sigma_{\text{train}</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w:t>
      </w:r>
    </w:p>
    <w:p w14:paraId="400C65C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where $\mu_{\text{train</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 xml:space="preserve"> and $\sigma_{\text{train</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 xml:space="preserve"> are mean and standard deviation computed exclusively on the training set.</w:t>
      </w:r>
    </w:p>
    <w:p w14:paraId="36A85430"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B. Evaluation Protocol</w:t>
      </w:r>
    </w:p>
    <w:p w14:paraId="72B27C5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Temporal split is employed to respect chronological ordering:</w:t>
      </w:r>
    </w:p>
    <w:p w14:paraId="4458292F" w14:textId="77777777" w:rsidR="00043AF0" w:rsidRPr="00043AF0" w:rsidRDefault="00043AF0" w:rsidP="00043AF0">
      <w:pPr>
        <w:numPr>
          <w:ilvl w:val="0"/>
          <w:numId w:val="6"/>
        </w:numPr>
        <w:jc w:val="both"/>
        <w:rPr>
          <w:rFonts w:ascii="Times New Roman" w:hAnsi="Times New Roman" w:cs="Times New Roman"/>
          <w:sz w:val="20"/>
          <w:szCs w:val="20"/>
        </w:rPr>
      </w:pPr>
      <w:r w:rsidRPr="00043AF0">
        <w:rPr>
          <w:rFonts w:ascii="Times New Roman" w:hAnsi="Times New Roman" w:cs="Times New Roman"/>
          <w:b/>
          <w:bCs/>
          <w:sz w:val="20"/>
          <w:szCs w:val="20"/>
        </w:rPr>
        <w:t>Training Set (70%)</w:t>
      </w:r>
      <w:r w:rsidRPr="00043AF0">
        <w:rPr>
          <w:rFonts w:ascii="Times New Roman" w:hAnsi="Times New Roman" w:cs="Times New Roman"/>
          <w:sz w:val="20"/>
          <w:szCs w:val="20"/>
        </w:rPr>
        <w:t>: Oldest 70% of data (1999-2018)</w:t>
      </w:r>
    </w:p>
    <w:p w14:paraId="0530D05C" w14:textId="77777777" w:rsidR="00043AF0" w:rsidRPr="00043AF0" w:rsidRDefault="00043AF0" w:rsidP="00043AF0">
      <w:pPr>
        <w:numPr>
          <w:ilvl w:val="0"/>
          <w:numId w:val="6"/>
        </w:numPr>
        <w:jc w:val="both"/>
        <w:rPr>
          <w:rFonts w:ascii="Times New Roman" w:hAnsi="Times New Roman" w:cs="Times New Roman"/>
          <w:sz w:val="20"/>
          <w:szCs w:val="20"/>
        </w:rPr>
      </w:pPr>
      <w:r w:rsidRPr="00043AF0">
        <w:rPr>
          <w:rFonts w:ascii="Times New Roman" w:hAnsi="Times New Roman" w:cs="Times New Roman"/>
          <w:b/>
          <w:bCs/>
          <w:sz w:val="20"/>
          <w:szCs w:val="20"/>
        </w:rPr>
        <w:t>Validation Set (15%)</w:t>
      </w:r>
      <w:r w:rsidRPr="00043AF0">
        <w:rPr>
          <w:rFonts w:ascii="Times New Roman" w:hAnsi="Times New Roman" w:cs="Times New Roman"/>
          <w:sz w:val="20"/>
          <w:szCs w:val="20"/>
        </w:rPr>
        <w:t>: Middle 15% (2018-2022)</w:t>
      </w:r>
    </w:p>
    <w:p w14:paraId="3CB61C8F" w14:textId="77777777" w:rsidR="00043AF0" w:rsidRPr="00043AF0" w:rsidRDefault="00043AF0" w:rsidP="00043AF0">
      <w:pPr>
        <w:numPr>
          <w:ilvl w:val="0"/>
          <w:numId w:val="6"/>
        </w:numPr>
        <w:jc w:val="both"/>
        <w:rPr>
          <w:rFonts w:ascii="Times New Roman" w:hAnsi="Times New Roman" w:cs="Times New Roman"/>
          <w:sz w:val="20"/>
          <w:szCs w:val="20"/>
        </w:rPr>
      </w:pPr>
      <w:r w:rsidRPr="00043AF0">
        <w:rPr>
          <w:rFonts w:ascii="Times New Roman" w:hAnsi="Times New Roman" w:cs="Times New Roman"/>
          <w:b/>
          <w:bCs/>
          <w:sz w:val="20"/>
          <w:szCs w:val="20"/>
        </w:rPr>
        <w:t>Test Set (15%)</w:t>
      </w:r>
      <w:r w:rsidRPr="00043AF0">
        <w:rPr>
          <w:rFonts w:ascii="Times New Roman" w:hAnsi="Times New Roman" w:cs="Times New Roman"/>
          <w:sz w:val="20"/>
          <w:szCs w:val="20"/>
        </w:rPr>
        <w:t>: Most recent 15% (2022-2025)</w:t>
      </w:r>
    </w:p>
    <w:p w14:paraId="31726A3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This ensures the model is trained on historical data and evaluated on genuinely unseen future periods, mimicking real-world deployment where predictions are made forward in time.</w:t>
      </w:r>
    </w:p>
    <w:p w14:paraId="20AF9958" w14:textId="77777777" w:rsidR="00772F01" w:rsidRDefault="00772F01" w:rsidP="00043AF0">
      <w:pPr>
        <w:jc w:val="both"/>
        <w:rPr>
          <w:rFonts w:ascii="Times New Roman" w:hAnsi="Times New Roman" w:cs="Times New Roman"/>
          <w:sz w:val="20"/>
          <w:szCs w:val="20"/>
        </w:rPr>
      </w:pPr>
    </w:p>
    <w:p w14:paraId="333EAAAD" w14:textId="18557F53" w:rsidR="00772F01" w:rsidRDefault="00772F01" w:rsidP="00043AF0">
      <w:pPr>
        <w:jc w:val="both"/>
        <w:rPr>
          <w:rFonts w:ascii="Times New Roman" w:hAnsi="Times New Roman" w:cs="Times New Roman"/>
          <w:sz w:val="20"/>
          <w:szCs w:val="20"/>
        </w:rPr>
      </w:pPr>
      <w:r w:rsidRPr="00772F01">
        <w:rPr>
          <w:rFonts w:ascii="Times New Roman" w:hAnsi="Times New Roman" w:cs="Times New Roman"/>
          <w:sz w:val="20"/>
          <w:szCs w:val="20"/>
        </w:rPr>
        <w:drawing>
          <wp:inline distT="0" distB="0" distL="0" distR="0" wp14:anchorId="28ADC27D" wp14:editId="41862617">
            <wp:extent cx="3195955" cy="573405"/>
            <wp:effectExtent l="0" t="0" r="4445" b="0"/>
            <wp:docPr id="49987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9224" name=""/>
                    <pic:cNvPicPr/>
                  </pic:nvPicPr>
                  <pic:blipFill>
                    <a:blip r:embed="rId7"/>
                    <a:stretch>
                      <a:fillRect/>
                    </a:stretch>
                  </pic:blipFill>
                  <pic:spPr>
                    <a:xfrm>
                      <a:off x="0" y="0"/>
                      <a:ext cx="3195955" cy="573405"/>
                    </a:xfrm>
                    <a:prstGeom prst="rect">
                      <a:avLst/>
                    </a:prstGeom>
                  </pic:spPr>
                </pic:pic>
              </a:graphicData>
            </a:graphic>
          </wp:inline>
        </w:drawing>
      </w:r>
    </w:p>
    <w:p w14:paraId="2B61C8E2" w14:textId="10D75AF4" w:rsidR="007D23E1" w:rsidRDefault="007D23E1" w:rsidP="007D23E1">
      <w:pPr>
        <w:jc w:val="center"/>
        <w:rPr>
          <w:rFonts w:ascii="Times New Roman" w:hAnsi="Times New Roman" w:cs="Times New Roman"/>
          <w:sz w:val="20"/>
          <w:szCs w:val="20"/>
        </w:rPr>
      </w:pPr>
      <w:r>
        <w:rPr>
          <w:rFonts w:ascii="Times New Roman" w:hAnsi="Times New Roman" w:cs="Times New Roman"/>
          <w:sz w:val="20"/>
          <w:szCs w:val="20"/>
        </w:rPr>
        <w:t>Fig 2: Temporal data splitting</w:t>
      </w:r>
    </w:p>
    <w:p w14:paraId="5AAEA678" w14:textId="6B624003"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validation set is used for hyperparameter tuning and model selection, while the test set remains completely held out until final evaluation. This prevents optimization bias where repeated evaluation on the test set leads to implicit overfitting.</w:t>
      </w:r>
    </w:p>
    <w:p w14:paraId="79353497"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C. Evaluation Metrics</w:t>
      </w:r>
    </w:p>
    <w:p w14:paraId="092F6D6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Primary Metric: ROC-AUC</w:t>
      </w:r>
    </w:p>
    <w:p w14:paraId="7B840B0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Receiver Operating Characteristic Area Under Curve (ROC-AUC) measures the model's ability to discriminate between classes across all classification thresholds. The ROC curve plots True Positive Rate (TPR) versus False Positive Rate (FPR):</w:t>
      </w:r>
    </w:p>
    <w:p w14:paraId="13A9431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TPR} = \</w:t>
      </w:r>
      <w:proofErr w:type="gramStart"/>
      <w:r w:rsidRPr="00043AF0">
        <w:rPr>
          <w:rFonts w:ascii="Times New Roman" w:hAnsi="Times New Roman" w:cs="Times New Roman"/>
          <w:sz w:val="20"/>
          <w:szCs w:val="20"/>
        </w:rPr>
        <w:t>frac{</w:t>
      </w:r>
      <w:proofErr w:type="gramEnd"/>
      <w:r w:rsidRPr="00043AF0">
        <w:rPr>
          <w:rFonts w:ascii="Times New Roman" w:hAnsi="Times New Roman" w:cs="Times New Roman"/>
          <w:sz w:val="20"/>
          <w:szCs w:val="20"/>
        </w:rPr>
        <w:t>TP</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TP + FN}, \quad \</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FPR} = \</w:t>
      </w:r>
      <w:proofErr w:type="gramStart"/>
      <w:r w:rsidRPr="00043AF0">
        <w:rPr>
          <w:rFonts w:ascii="Times New Roman" w:hAnsi="Times New Roman" w:cs="Times New Roman"/>
          <w:sz w:val="20"/>
          <w:szCs w:val="20"/>
        </w:rPr>
        <w:t>frac{</w:t>
      </w:r>
      <w:proofErr w:type="gramEnd"/>
      <w:r w:rsidRPr="00043AF0">
        <w:rPr>
          <w:rFonts w:ascii="Times New Roman" w:hAnsi="Times New Roman" w:cs="Times New Roman"/>
          <w:sz w:val="20"/>
          <w:szCs w:val="20"/>
        </w:rPr>
        <w:t>FP</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 xml:space="preserve">FP + </w:t>
      </w:r>
      <w:proofErr w:type="gramStart"/>
      <w:r w:rsidRPr="00043AF0">
        <w:rPr>
          <w:rFonts w:ascii="Times New Roman" w:hAnsi="Times New Roman" w:cs="Times New Roman"/>
          <w:sz w:val="20"/>
          <w:szCs w:val="20"/>
        </w:rPr>
        <w:t>TN}$</w:t>
      </w:r>
      <w:proofErr w:type="gramEnd"/>
      <w:r w:rsidRPr="00043AF0">
        <w:rPr>
          <w:rFonts w:ascii="Times New Roman" w:hAnsi="Times New Roman" w:cs="Times New Roman"/>
          <w:sz w:val="20"/>
          <w:szCs w:val="20"/>
        </w:rPr>
        <w:t>$</w:t>
      </w:r>
    </w:p>
    <w:p w14:paraId="5F7EF6D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ROC-AUC ranges from 0.5 (random guessing) to 1.0 (perfect discrimination). Advantages include:</w:t>
      </w:r>
    </w:p>
    <w:p w14:paraId="24D1304A" w14:textId="77777777" w:rsidR="00043AF0" w:rsidRPr="00043AF0" w:rsidRDefault="00043AF0" w:rsidP="00043AF0">
      <w:pPr>
        <w:numPr>
          <w:ilvl w:val="0"/>
          <w:numId w:val="7"/>
        </w:numPr>
        <w:jc w:val="both"/>
        <w:rPr>
          <w:rFonts w:ascii="Times New Roman" w:hAnsi="Times New Roman" w:cs="Times New Roman"/>
          <w:sz w:val="20"/>
          <w:szCs w:val="20"/>
        </w:rPr>
      </w:pPr>
      <w:r w:rsidRPr="00043AF0">
        <w:rPr>
          <w:rFonts w:ascii="Times New Roman" w:hAnsi="Times New Roman" w:cs="Times New Roman"/>
          <w:sz w:val="20"/>
          <w:szCs w:val="20"/>
        </w:rPr>
        <w:t>Robust to class imbalance (unlike accuracy)</w:t>
      </w:r>
    </w:p>
    <w:p w14:paraId="08363C9C" w14:textId="77777777" w:rsidR="00043AF0" w:rsidRPr="00043AF0" w:rsidRDefault="00043AF0" w:rsidP="00043AF0">
      <w:pPr>
        <w:numPr>
          <w:ilvl w:val="0"/>
          <w:numId w:val="7"/>
        </w:numPr>
        <w:jc w:val="both"/>
        <w:rPr>
          <w:rFonts w:ascii="Times New Roman" w:hAnsi="Times New Roman" w:cs="Times New Roman"/>
          <w:sz w:val="20"/>
          <w:szCs w:val="20"/>
        </w:rPr>
      </w:pPr>
      <w:r w:rsidRPr="00043AF0">
        <w:rPr>
          <w:rFonts w:ascii="Times New Roman" w:hAnsi="Times New Roman" w:cs="Times New Roman"/>
          <w:sz w:val="20"/>
          <w:szCs w:val="20"/>
        </w:rPr>
        <w:t>Threshold-independent performance summary</w:t>
      </w:r>
    </w:p>
    <w:p w14:paraId="23BFE937" w14:textId="77777777" w:rsidR="00043AF0" w:rsidRPr="00043AF0" w:rsidRDefault="00043AF0" w:rsidP="00043AF0">
      <w:pPr>
        <w:numPr>
          <w:ilvl w:val="0"/>
          <w:numId w:val="7"/>
        </w:numPr>
        <w:jc w:val="both"/>
        <w:rPr>
          <w:rFonts w:ascii="Times New Roman" w:hAnsi="Times New Roman" w:cs="Times New Roman"/>
          <w:sz w:val="20"/>
          <w:szCs w:val="20"/>
        </w:rPr>
      </w:pPr>
      <w:r w:rsidRPr="00043AF0">
        <w:rPr>
          <w:rFonts w:ascii="Times New Roman" w:hAnsi="Times New Roman" w:cs="Times New Roman"/>
          <w:sz w:val="20"/>
          <w:szCs w:val="20"/>
        </w:rPr>
        <w:t>Interpretable as probability that a random positive sample ranks higher than a random negative sample</w:t>
      </w:r>
    </w:p>
    <w:p w14:paraId="1462B3D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Secondary Metrics</w:t>
      </w:r>
      <w:r w:rsidRPr="00043AF0">
        <w:rPr>
          <w:rFonts w:ascii="Times New Roman" w:hAnsi="Times New Roman" w:cs="Times New Roman"/>
          <w:sz w:val="20"/>
          <w:szCs w:val="20"/>
        </w:rPr>
        <w:t>:</w:t>
      </w:r>
    </w:p>
    <w:p w14:paraId="2999A57B" w14:textId="77777777" w:rsidR="00043AF0" w:rsidRPr="00043AF0" w:rsidRDefault="00043AF0" w:rsidP="00043AF0">
      <w:pPr>
        <w:numPr>
          <w:ilvl w:val="0"/>
          <w:numId w:val="8"/>
        </w:numPr>
        <w:jc w:val="both"/>
        <w:rPr>
          <w:rFonts w:ascii="Times New Roman" w:hAnsi="Times New Roman" w:cs="Times New Roman"/>
          <w:sz w:val="20"/>
          <w:szCs w:val="20"/>
        </w:rPr>
      </w:pPr>
      <w:r w:rsidRPr="00043AF0">
        <w:rPr>
          <w:rFonts w:ascii="Times New Roman" w:hAnsi="Times New Roman" w:cs="Times New Roman"/>
          <w:b/>
          <w:bCs/>
          <w:sz w:val="20"/>
          <w:szCs w:val="20"/>
        </w:rPr>
        <w:t>Accuracy</w:t>
      </w:r>
      <w:r w:rsidRPr="00043AF0">
        <w:rPr>
          <w:rFonts w:ascii="Times New Roman" w:hAnsi="Times New Roman" w:cs="Times New Roman"/>
          <w:sz w:val="20"/>
          <w:szCs w:val="20"/>
        </w:rPr>
        <w:t xml:space="preserve">: $(TP + TN) / (TP + TN + FP + </w:t>
      </w:r>
      <w:proofErr w:type="gramStart"/>
      <w:r w:rsidRPr="00043AF0">
        <w:rPr>
          <w:rFonts w:ascii="Times New Roman" w:hAnsi="Times New Roman" w:cs="Times New Roman"/>
          <w:sz w:val="20"/>
          <w:szCs w:val="20"/>
        </w:rPr>
        <w:t>FN)$</w:t>
      </w:r>
      <w:proofErr w:type="gramEnd"/>
    </w:p>
    <w:p w14:paraId="066E34E2" w14:textId="77777777" w:rsidR="00043AF0" w:rsidRPr="00043AF0" w:rsidRDefault="00043AF0" w:rsidP="00043AF0">
      <w:pPr>
        <w:numPr>
          <w:ilvl w:val="0"/>
          <w:numId w:val="8"/>
        </w:numPr>
        <w:jc w:val="both"/>
        <w:rPr>
          <w:rFonts w:ascii="Times New Roman" w:hAnsi="Times New Roman" w:cs="Times New Roman"/>
          <w:sz w:val="20"/>
          <w:szCs w:val="20"/>
        </w:rPr>
      </w:pPr>
      <w:r w:rsidRPr="00043AF0">
        <w:rPr>
          <w:rFonts w:ascii="Times New Roman" w:hAnsi="Times New Roman" w:cs="Times New Roman"/>
          <w:b/>
          <w:bCs/>
          <w:sz w:val="20"/>
          <w:szCs w:val="20"/>
        </w:rPr>
        <w:t>Precision</w:t>
      </w:r>
      <w:r w:rsidRPr="00043AF0">
        <w:rPr>
          <w:rFonts w:ascii="Times New Roman" w:hAnsi="Times New Roman" w:cs="Times New Roman"/>
          <w:sz w:val="20"/>
          <w:szCs w:val="20"/>
        </w:rPr>
        <w:t xml:space="preserve">: $TP / (TP + </w:t>
      </w:r>
      <w:proofErr w:type="gramStart"/>
      <w:r w:rsidRPr="00043AF0">
        <w:rPr>
          <w:rFonts w:ascii="Times New Roman" w:hAnsi="Times New Roman" w:cs="Times New Roman"/>
          <w:sz w:val="20"/>
          <w:szCs w:val="20"/>
        </w:rPr>
        <w:t>FP)$</w:t>
      </w:r>
      <w:proofErr w:type="gramEnd"/>
      <w:r w:rsidRPr="00043AF0">
        <w:rPr>
          <w:rFonts w:ascii="Times New Roman" w:hAnsi="Times New Roman" w:cs="Times New Roman"/>
          <w:sz w:val="20"/>
          <w:szCs w:val="20"/>
        </w:rPr>
        <w:t xml:space="preserve"> — proportion of positive predictions that are correct</w:t>
      </w:r>
    </w:p>
    <w:p w14:paraId="4CEF635F" w14:textId="77777777" w:rsidR="00043AF0" w:rsidRPr="00043AF0" w:rsidRDefault="00043AF0" w:rsidP="00043AF0">
      <w:pPr>
        <w:numPr>
          <w:ilvl w:val="0"/>
          <w:numId w:val="8"/>
        </w:numPr>
        <w:jc w:val="both"/>
        <w:rPr>
          <w:rFonts w:ascii="Times New Roman" w:hAnsi="Times New Roman" w:cs="Times New Roman"/>
          <w:sz w:val="20"/>
          <w:szCs w:val="20"/>
        </w:rPr>
      </w:pPr>
      <w:r w:rsidRPr="00043AF0">
        <w:rPr>
          <w:rFonts w:ascii="Times New Roman" w:hAnsi="Times New Roman" w:cs="Times New Roman"/>
          <w:b/>
          <w:bCs/>
          <w:sz w:val="20"/>
          <w:szCs w:val="20"/>
        </w:rPr>
        <w:t>Recall</w:t>
      </w:r>
      <w:r w:rsidRPr="00043AF0">
        <w:rPr>
          <w:rFonts w:ascii="Times New Roman" w:hAnsi="Times New Roman" w:cs="Times New Roman"/>
          <w:sz w:val="20"/>
          <w:szCs w:val="20"/>
        </w:rPr>
        <w:t xml:space="preserve">: $TP / (TP + </w:t>
      </w:r>
      <w:proofErr w:type="gramStart"/>
      <w:r w:rsidRPr="00043AF0">
        <w:rPr>
          <w:rFonts w:ascii="Times New Roman" w:hAnsi="Times New Roman" w:cs="Times New Roman"/>
          <w:sz w:val="20"/>
          <w:szCs w:val="20"/>
        </w:rPr>
        <w:t>FN)$</w:t>
      </w:r>
      <w:proofErr w:type="gramEnd"/>
      <w:r w:rsidRPr="00043AF0">
        <w:rPr>
          <w:rFonts w:ascii="Times New Roman" w:hAnsi="Times New Roman" w:cs="Times New Roman"/>
          <w:sz w:val="20"/>
          <w:szCs w:val="20"/>
        </w:rPr>
        <w:t xml:space="preserve"> — proportion of actual positives correctly identified</w:t>
      </w:r>
    </w:p>
    <w:p w14:paraId="16C3FFDE" w14:textId="77777777" w:rsidR="00043AF0" w:rsidRPr="00043AF0" w:rsidRDefault="00043AF0" w:rsidP="00043AF0">
      <w:pPr>
        <w:numPr>
          <w:ilvl w:val="0"/>
          <w:numId w:val="8"/>
        </w:numPr>
        <w:jc w:val="both"/>
        <w:rPr>
          <w:rFonts w:ascii="Times New Roman" w:hAnsi="Times New Roman" w:cs="Times New Roman"/>
          <w:sz w:val="20"/>
          <w:szCs w:val="20"/>
        </w:rPr>
      </w:pPr>
      <w:r w:rsidRPr="00043AF0">
        <w:rPr>
          <w:rFonts w:ascii="Times New Roman" w:hAnsi="Times New Roman" w:cs="Times New Roman"/>
          <w:b/>
          <w:bCs/>
          <w:sz w:val="20"/>
          <w:szCs w:val="20"/>
        </w:rPr>
        <w:t>F1-Score</w:t>
      </w:r>
      <w:r w:rsidRPr="00043AF0">
        <w:rPr>
          <w:rFonts w:ascii="Times New Roman" w:hAnsi="Times New Roman" w:cs="Times New Roman"/>
          <w:sz w:val="20"/>
          <w:szCs w:val="20"/>
        </w:rPr>
        <w:t>: $2 \times \frac{\</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Precision} \times \</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Recall</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Precision} + \</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Recall</w:t>
      </w:r>
      <w:proofErr w:type="gramStart"/>
      <w:r w:rsidRPr="00043AF0">
        <w:rPr>
          <w:rFonts w:ascii="Times New Roman" w:hAnsi="Times New Roman" w:cs="Times New Roman"/>
          <w:sz w:val="20"/>
          <w:szCs w:val="20"/>
        </w:rPr>
        <w:t>}}$</w:t>
      </w:r>
      <w:proofErr w:type="gramEnd"/>
      <w:r w:rsidRPr="00043AF0">
        <w:rPr>
          <w:rFonts w:ascii="Times New Roman" w:hAnsi="Times New Roman" w:cs="Times New Roman"/>
          <w:sz w:val="20"/>
          <w:szCs w:val="20"/>
        </w:rPr>
        <w:t xml:space="preserve"> — harmonic mean balancing precision and recall</w:t>
      </w:r>
    </w:p>
    <w:p w14:paraId="783B9EA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Confusion Matrix</w:t>
      </w:r>
      <w:r w:rsidRPr="00043AF0">
        <w:rPr>
          <w:rFonts w:ascii="Times New Roman" w:hAnsi="Times New Roman" w:cs="Times New Roman"/>
          <w:sz w:val="20"/>
          <w:szCs w:val="20"/>
        </w:rPr>
        <w:t>:</w:t>
      </w:r>
    </w:p>
    <w:p w14:paraId="2242063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confusion matrix provides detailed classification breakdown:</w:t>
      </w:r>
    </w:p>
    <w:p w14:paraId="59F569E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$$\begin{array}{</w:t>
      </w:r>
      <w:proofErr w:type="spellStart"/>
      <w:r w:rsidRPr="00043AF0">
        <w:rPr>
          <w:rFonts w:ascii="Times New Roman" w:hAnsi="Times New Roman" w:cs="Times New Roman"/>
          <w:sz w:val="20"/>
          <w:szCs w:val="20"/>
        </w:rPr>
        <w:t>cc|cc</w:t>
      </w:r>
      <w:proofErr w:type="spellEnd"/>
      <w:r w:rsidRPr="00043AF0">
        <w:rPr>
          <w:rFonts w:ascii="Times New Roman" w:hAnsi="Times New Roman" w:cs="Times New Roman"/>
          <w:sz w:val="20"/>
          <w:szCs w:val="20"/>
        </w:rPr>
        <w:t>} &amp; &amp; \multicolumn{2}{</w:t>
      </w:r>
      <w:proofErr w:type="gramStart"/>
      <w:r w:rsidRPr="00043AF0">
        <w:rPr>
          <w:rFonts w:ascii="Times New Roman" w:hAnsi="Times New Roman" w:cs="Times New Roman"/>
          <w:sz w:val="20"/>
          <w:szCs w:val="20"/>
        </w:rPr>
        <w:t>c}{</w:t>
      </w:r>
      <w:proofErr w:type="gramEnd"/>
      <w:r w:rsidRPr="00043AF0">
        <w:rPr>
          <w:rFonts w:ascii="Times New Roman" w:hAnsi="Times New Roman" w:cs="Times New Roman"/>
          <w:sz w:val="20"/>
          <w:szCs w:val="20"/>
        </w:rPr>
        <w:t>\</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Predicted}} \ &amp; &amp; \</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 xml:space="preserve">Down (0)} </w:t>
      </w:r>
      <w:r w:rsidRPr="00043AF0">
        <w:rPr>
          <w:rFonts w:ascii="Times New Roman" w:hAnsi="Times New Roman" w:cs="Times New Roman"/>
          <w:sz w:val="20"/>
          <w:szCs w:val="20"/>
        </w:rPr>
        <w:lastRenderedPageBreak/>
        <w:t>&amp; \</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Up (1)} \ \</w:t>
      </w:r>
      <w:proofErr w:type="spellStart"/>
      <w:r w:rsidRPr="00043AF0">
        <w:rPr>
          <w:rFonts w:ascii="Times New Roman" w:hAnsi="Times New Roman" w:cs="Times New Roman"/>
          <w:sz w:val="20"/>
          <w:szCs w:val="20"/>
        </w:rPr>
        <w:t>hline</w:t>
      </w:r>
      <w:proofErr w:type="spellEnd"/>
      <w:r w:rsidRPr="00043AF0">
        <w:rPr>
          <w:rFonts w:ascii="Times New Roman" w:hAnsi="Times New Roman" w:cs="Times New Roman"/>
          <w:sz w:val="20"/>
          <w:szCs w:val="20"/>
        </w:rPr>
        <w:t xml:space="preserve"> \</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Actual} &amp; \</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Down (0)} &amp; TN &amp; FP \ &amp; \</w:t>
      </w:r>
      <w:proofErr w:type="gramStart"/>
      <w:r w:rsidRPr="00043AF0">
        <w:rPr>
          <w:rFonts w:ascii="Times New Roman" w:hAnsi="Times New Roman" w:cs="Times New Roman"/>
          <w:sz w:val="20"/>
          <w:szCs w:val="20"/>
        </w:rPr>
        <w:t>text{</w:t>
      </w:r>
      <w:proofErr w:type="gramEnd"/>
      <w:r w:rsidRPr="00043AF0">
        <w:rPr>
          <w:rFonts w:ascii="Times New Roman" w:hAnsi="Times New Roman" w:cs="Times New Roman"/>
          <w:sz w:val="20"/>
          <w:szCs w:val="20"/>
        </w:rPr>
        <w:t>Up (1)} &amp; FN &amp; TP \end{array}$$</w:t>
      </w:r>
    </w:p>
    <w:p w14:paraId="5E35C80E" w14:textId="1E6EC0D9"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where TN = True Negative, FP = False Positive, FN = False Negative, TP = True Positive.</w:t>
      </w:r>
    </w:p>
    <w:p w14:paraId="5048AA6F" w14:textId="193135C5"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V. RESULTS AND ANALYSIS</w:t>
      </w:r>
    </w:p>
    <w:p w14:paraId="0EBF4D01" w14:textId="3CCE5EEF"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 Overall Model Performance</w:t>
      </w:r>
    </w:p>
    <w:p w14:paraId="5BF9C95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Table IV presents comparative performance of Random Forest against baseline methods on the test set of 42,630 predictions.</w:t>
      </w:r>
    </w:p>
    <w:p w14:paraId="18AD4434" w14:textId="51FA80A2"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TABLE IV: MODEL PERFORMANCE COMPARISON</w:t>
      </w:r>
    </w:p>
    <w:tbl>
      <w:tblPr>
        <w:tblStyle w:val="TableGrid"/>
        <w:tblW w:w="0" w:type="auto"/>
        <w:tblLook w:val="04A0" w:firstRow="1" w:lastRow="0" w:firstColumn="1" w:lastColumn="0" w:noHBand="0" w:noVBand="1"/>
      </w:tblPr>
      <w:tblGrid>
        <w:gridCol w:w="1083"/>
        <w:gridCol w:w="686"/>
        <w:gridCol w:w="960"/>
        <w:gridCol w:w="937"/>
        <w:gridCol w:w="706"/>
        <w:gridCol w:w="651"/>
      </w:tblGrid>
      <w:tr w:rsidR="00043AF0" w:rsidRPr="00043AF0" w14:paraId="4FBC8521" w14:textId="77777777" w:rsidTr="00DB55D6">
        <w:tc>
          <w:tcPr>
            <w:tcW w:w="0" w:type="auto"/>
            <w:hideMark/>
          </w:tcPr>
          <w:p w14:paraId="4A1E4A91"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Model</w:t>
            </w:r>
          </w:p>
        </w:tc>
        <w:tc>
          <w:tcPr>
            <w:tcW w:w="0" w:type="auto"/>
            <w:hideMark/>
          </w:tcPr>
          <w:p w14:paraId="071F880D"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ROC-AUC</w:t>
            </w:r>
          </w:p>
        </w:tc>
        <w:tc>
          <w:tcPr>
            <w:tcW w:w="0" w:type="auto"/>
            <w:hideMark/>
          </w:tcPr>
          <w:p w14:paraId="5FB3195C"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Accuracy</w:t>
            </w:r>
          </w:p>
        </w:tc>
        <w:tc>
          <w:tcPr>
            <w:tcW w:w="0" w:type="auto"/>
            <w:hideMark/>
          </w:tcPr>
          <w:p w14:paraId="74E0D8ED"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Precision</w:t>
            </w:r>
          </w:p>
        </w:tc>
        <w:tc>
          <w:tcPr>
            <w:tcW w:w="0" w:type="auto"/>
            <w:hideMark/>
          </w:tcPr>
          <w:p w14:paraId="70EEFB9F"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Recall</w:t>
            </w:r>
          </w:p>
        </w:tc>
        <w:tc>
          <w:tcPr>
            <w:tcW w:w="0" w:type="auto"/>
            <w:hideMark/>
          </w:tcPr>
          <w:p w14:paraId="1B3808F6"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F1-Score</w:t>
            </w:r>
          </w:p>
        </w:tc>
      </w:tr>
      <w:tr w:rsidR="00043AF0" w:rsidRPr="00043AF0" w14:paraId="1601F08F" w14:textId="77777777" w:rsidTr="00DB55D6">
        <w:tc>
          <w:tcPr>
            <w:tcW w:w="0" w:type="auto"/>
            <w:hideMark/>
          </w:tcPr>
          <w:p w14:paraId="0E4C32E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Always-UP Baseline</w:t>
            </w:r>
          </w:p>
        </w:tc>
        <w:tc>
          <w:tcPr>
            <w:tcW w:w="0" w:type="auto"/>
            <w:hideMark/>
          </w:tcPr>
          <w:p w14:paraId="1C4ABC8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0.500</w:t>
            </w:r>
          </w:p>
        </w:tc>
        <w:tc>
          <w:tcPr>
            <w:tcW w:w="0" w:type="auto"/>
            <w:hideMark/>
          </w:tcPr>
          <w:p w14:paraId="7A2FB91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0.653</w:t>
            </w:r>
          </w:p>
        </w:tc>
        <w:tc>
          <w:tcPr>
            <w:tcW w:w="0" w:type="auto"/>
            <w:hideMark/>
          </w:tcPr>
          <w:p w14:paraId="13DBD78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0.653</w:t>
            </w:r>
          </w:p>
        </w:tc>
        <w:tc>
          <w:tcPr>
            <w:tcW w:w="0" w:type="auto"/>
            <w:hideMark/>
          </w:tcPr>
          <w:p w14:paraId="73E951B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1.000</w:t>
            </w:r>
          </w:p>
        </w:tc>
        <w:tc>
          <w:tcPr>
            <w:tcW w:w="0" w:type="auto"/>
            <w:hideMark/>
          </w:tcPr>
          <w:p w14:paraId="58F04E8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0.790</w:t>
            </w:r>
          </w:p>
        </w:tc>
      </w:tr>
      <w:tr w:rsidR="00043AF0" w:rsidRPr="00043AF0" w14:paraId="5046BEC3" w14:textId="77777777" w:rsidTr="00DB55D6">
        <w:tc>
          <w:tcPr>
            <w:tcW w:w="0" w:type="auto"/>
            <w:hideMark/>
          </w:tcPr>
          <w:p w14:paraId="63764B0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Momentum (return_20d &gt; 0)</w:t>
            </w:r>
          </w:p>
        </w:tc>
        <w:tc>
          <w:tcPr>
            <w:tcW w:w="0" w:type="auto"/>
            <w:hideMark/>
          </w:tcPr>
          <w:p w14:paraId="4C2A3F4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0.473</w:t>
            </w:r>
          </w:p>
        </w:tc>
        <w:tc>
          <w:tcPr>
            <w:tcW w:w="0" w:type="auto"/>
            <w:hideMark/>
          </w:tcPr>
          <w:p w14:paraId="0BC9CBC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0.451</w:t>
            </w:r>
          </w:p>
        </w:tc>
        <w:tc>
          <w:tcPr>
            <w:tcW w:w="0" w:type="auto"/>
            <w:hideMark/>
          </w:tcPr>
          <w:p w14:paraId="579A597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0.624</w:t>
            </w:r>
          </w:p>
        </w:tc>
        <w:tc>
          <w:tcPr>
            <w:tcW w:w="0" w:type="auto"/>
            <w:hideMark/>
          </w:tcPr>
          <w:p w14:paraId="5768215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0.508</w:t>
            </w:r>
          </w:p>
        </w:tc>
        <w:tc>
          <w:tcPr>
            <w:tcW w:w="0" w:type="auto"/>
            <w:hideMark/>
          </w:tcPr>
          <w:p w14:paraId="50D32BD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0.560</w:t>
            </w:r>
          </w:p>
        </w:tc>
      </w:tr>
      <w:tr w:rsidR="00043AF0" w:rsidRPr="00043AF0" w14:paraId="03C1C782" w14:textId="77777777" w:rsidTr="00DB55D6">
        <w:tc>
          <w:tcPr>
            <w:tcW w:w="0" w:type="auto"/>
            <w:hideMark/>
          </w:tcPr>
          <w:p w14:paraId="451113E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Logistic Regression</w:t>
            </w:r>
          </w:p>
        </w:tc>
        <w:tc>
          <w:tcPr>
            <w:tcW w:w="0" w:type="auto"/>
            <w:hideMark/>
          </w:tcPr>
          <w:p w14:paraId="3B34A52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0.485</w:t>
            </w:r>
          </w:p>
        </w:tc>
        <w:tc>
          <w:tcPr>
            <w:tcW w:w="0" w:type="auto"/>
            <w:hideMark/>
          </w:tcPr>
          <w:p w14:paraId="6DB0EA7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0.498</w:t>
            </w:r>
          </w:p>
        </w:tc>
        <w:tc>
          <w:tcPr>
            <w:tcW w:w="0" w:type="auto"/>
            <w:hideMark/>
          </w:tcPr>
          <w:p w14:paraId="37209A0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0.632</w:t>
            </w:r>
          </w:p>
        </w:tc>
        <w:tc>
          <w:tcPr>
            <w:tcW w:w="0" w:type="auto"/>
            <w:hideMark/>
          </w:tcPr>
          <w:p w14:paraId="78C19F2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0.430</w:t>
            </w:r>
          </w:p>
        </w:tc>
        <w:tc>
          <w:tcPr>
            <w:tcW w:w="0" w:type="auto"/>
            <w:hideMark/>
          </w:tcPr>
          <w:p w14:paraId="3702DC1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0.512</w:t>
            </w:r>
          </w:p>
        </w:tc>
      </w:tr>
      <w:tr w:rsidR="00043AF0" w:rsidRPr="00043AF0" w14:paraId="2564B50D" w14:textId="77777777" w:rsidTr="00DB55D6">
        <w:tc>
          <w:tcPr>
            <w:tcW w:w="0" w:type="auto"/>
            <w:hideMark/>
          </w:tcPr>
          <w:p w14:paraId="3C0F6A5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Random Forest</w:t>
            </w:r>
          </w:p>
        </w:tc>
        <w:tc>
          <w:tcPr>
            <w:tcW w:w="0" w:type="auto"/>
            <w:hideMark/>
          </w:tcPr>
          <w:p w14:paraId="366F7A9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0.525</w:t>
            </w:r>
          </w:p>
        </w:tc>
        <w:tc>
          <w:tcPr>
            <w:tcW w:w="0" w:type="auto"/>
            <w:hideMark/>
          </w:tcPr>
          <w:p w14:paraId="6DBE339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0.508</w:t>
            </w:r>
          </w:p>
        </w:tc>
        <w:tc>
          <w:tcPr>
            <w:tcW w:w="0" w:type="auto"/>
            <w:hideMark/>
          </w:tcPr>
          <w:p w14:paraId="34CF028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0.669</w:t>
            </w:r>
          </w:p>
        </w:tc>
        <w:tc>
          <w:tcPr>
            <w:tcW w:w="0" w:type="auto"/>
            <w:hideMark/>
          </w:tcPr>
          <w:p w14:paraId="04A1A01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0.487</w:t>
            </w:r>
          </w:p>
        </w:tc>
        <w:tc>
          <w:tcPr>
            <w:tcW w:w="0" w:type="auto"/>
            <w:hideMark/>
          </w:tcPr>
          <w:p w14:paraId="47871CB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0.563</w:t>
            </w:r>
          </w:p>
        </w:tc>
      </w:tr>
    </w:tbl>
    <w:p w14:paraId="41A3572C" w14:textId="1D703E9C" w:rsidR="00C8361E" w:rsidRDefault="00C8361E" w:rsidP="00043AF0">
      <w:pPr>
        <w:jc w:val="both"/>
        <w:rPr>
          <w:rFonts w:ascii="Times New Roman" w:hAnsi="Times New Roman" w:cs="Times New Roman"/>
          <w:sz w:val="20"/>
          <w:szCs w:val="20"/>
        </w:rPr>
      </w:pPr>
      <w:r w:rsidRPr="00C8361E">
        <w:rPr>
          <w:rFonts w:ascii="Times New Roman" w:hAnsi="Times New Roman" w:cs="Times New Roman"/>
          <w:sz w:val="20"/>
          <w:szCs w:val="20"/>
        </w:rPr>
        <w:drawing>
          <wp:anchor distT="0" distB="0" distL="114300" distR="114300" simplePos="0" relativeHeight="251661312" behindDoc="0" locked="0" layoutInCell="1" allowOverlap="1" wp14:anchorId="741667B9" wp14:editId="206AB0F3">
            <wp:simplePos x="0" y="0"/>
            <wp:positionH relativeFrom="column">
              <wp:posOffset>-118534</wp:posOffset>
            </wp:positionH>
            <wp:positionV relativeFrom="paragraph">
              <wp:posOffset>211243</wp:posOffset>
            </wp:positionV>
            <wp:extent cx="3195955" cy="2461895"/>
            <wp:effectExtent l="0" t="0" r="4445" b="0"/>
            <wp:wrapSquare wrapText="bothSides"/>
            <wp:docPr id="11074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688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5955" cy="2461895"/>
                    </a:xfrm>
                    <a:prstGeom prst="rect">
                      <a:avLst/>
                    </a:prstGeom>
                  </pic:spPr>
                </pic:pic>
              </a:graphicData>
            </a:graphic>
          </wp:anchor>
        </w:drawing>
      </w:r>
    </w:p>
    <w:p w14:paraId="23828C24" w14:textId="728DBFE6" w:rsidR="00043AF0" w:rsidRPr="00043AF0" w:rsidRDefault="007D23E1" w:rsidP="00C8361E">
      <w:pPr>
        <w:jc w:val="center"/>
        <w:rPr>
          <w:rFonts w:ascii="Times New Roman" w:hAnsi="Times New Roman" w:cs="Times New Roman"/>
          <w:sz w:val="20"/>
          <w:szCs w:val="20"/>
        </w:rPr>
      </w:pPr>
      <w:r>
        <w:rPr>
          <w:rFonts w:ascii="Times New Roman" w:hAnsi="Times New Roman" w:cs="Times New Roman"/>
          <w:sz w:val="20"/>
          <w:szCs w:val="20"/>
        </w:rPr>
        <w:t>F</w:t>
      </w:r>
      <w:r w:rsidR="00C8361E">
        <w:rPr>
          <w:rFonts w:ascii="Times New Roman" w:hAnsi="Times New Roman" w:cs="Times New Roman"/>
          <w:sz w:val="20"/>
          <w:szCs w:val="20"/>
        </w:rPr>
        <w:t>ig</w:t>
      </w:r>
      <w:r>
        <w:rPr>
          <w:rFonts w:ascii="Times New Roman" w:hAnsi="Times New Roman" w:cs="Times New Roman"/>
          <w:sz w:val="20"/>
          <w:szCs w:val="20"/>
        </w:rPr>
        <w:t xml:space="preserve"> 3</w:t>
      </w:r>
      <w:r w:rsidR="00043AF0" w:rsidRPr="00043AF0">
        <w:rPr>
          <w:rFonts w:ascii="Times New Roman" w:hAnsi="Times New Roman" w:cs="Times New Roman"/>
          <w:sz w:val="20"/>
          <w:szCs w:val="20"/>
        </w:rPr>
        <w:t>: ROC Curves comparing models</w:t>
      </w:r>
    </w:p>
    <w:p w14:paraId="62470171" w14:textId="277C15E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Random Forest achieves ROC-AUC of 0.5254, representing a statistically significant improvement of 2.54 percentage points above random baseline and 5.2 points above the momentum strategy. The improvement over logistic regression (4.0 points) demonstrates the value of non-linear modeling for capturing complex feature interactions.</w:t>
      </w:r>
    </w:p>
    <w:p w14:paraId="590F2703" w14:textId="5E36E6A1"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Always-UP baseline achieves misleadingly high accuracy (65.3%) by exploiting class distribution but has exactly 0.50 ROC-AUC, confirming it provides no discriminative ability. This illustrates why ROC-AUC is the appropriate metric for imbalanced financial prediction tasks.</w:t>
      </w:r>
    </w:p>
    <w:p w14:paraId="35588B90" w14:textId="28C8B5CC"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Random Forest shows moderate precision (66.9%) and recall (48.7%), indicating a conservative prediction strategy. The model correctly identifies roughly half of actual upward movements while maintaining reasonable precision when it does predict UP. This trade-off reflects the inherent difficulty of stock prediction and the model's calibration toward avoiding false positives.</w:t>
      </w:r>
    </w:p>
    <w:p w14:paraId="20EED540" w14:textId="26432333"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TABLE V: CONFUSION MATRIX — RANDOM FOREST TEST SET</w:t>
      </w:r>
    </w:p>
    <w:tbl>
      <w:tblPr>
        <w:tblStyle w:val="TableGrid"/>
        <w:tblW w:w="0" w:type="auto"/>
        <w:tblLook w:val="04A0" w:firstRow="1" w:lastRow="0" w:firstColumn="1" w:lastColumn="0" w:noHBand="0" w:noVBand="1"/>
      </w:tblPr>
      <w:tblGrid>
        <w:gridCol w:w="1363"/>
        <w:gridCol w:w="1601"/>
        <w:gridCol w:w="1293"/>
        <w:gridCol w:w="766"/>
      </w:tblGrid>
      <w:tr w:rsidR="00043AF0" w:rsidRPr="00043AF0" w14:paraId="30CAC6F5" w14:textId="77777777" w:rsidTr="00DB55D6">
        <w:tc>
          <w:tcPr>
            <w:tcW w:w="0" w:type="auto"/>
            <w:hideMark/>
          </w:tcPr>
          <w:p w14:paraId="0577CC19" w14:textId="77777777" w:rsidR="00043AF0" w:rsidRPr="00043AF0" w:rsidRDefault="00043AF0" w:rsidP="00043AF0">
            <w:pPr>
              <w:jc w:val="both"/>
              <w:rPr>
                <w:rFonts w:ascii="Times New Roman" w:hAnsi="Times New Roman" w:cs="Times New Roman"/>
                <w:sz w:val="20"/>
                <w:szCs w:val="20"/>
              </w:rPr>
            </w:pPr>
          </w:p>
        </w:tc>
        <w:tc>
          <w:tcPr>
            <w:tcW w:w="0" w:type="auto"/>
            <w:hideMark/>
          </w:tcPr>
          <w:p w14:paraId="5FDD985F"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Predicted DOWN</w:t>
            </w:r>
          </w:p>
        </w:tc>
        <w:tc>
          <w:tcPr>
            <w:tcW w:w="0" w:type="auto"/>
            <w:hideMark/>
          </w:tcPr>
          <w:p w14:paraId="532B64AE"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Predicted UP</w:t>
            </w:r>
          </w:p>
        </w:tc>
        <w:tc>
          <w:tcPr>
            <w:tcW w:w="0" w:type="auto"/>
            <w:hideMark/>
          </w:tcPr>
          <w:p w14:paraId="42C23DD4"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Total</w:t>
            </w:r>
          </w:p>
        </w:tc>
      </w:tr>
      <w:tr w:rsidR="00043AF0" w:rsidRPr="00043AF0" w14:paraId="6F3115C3" w14:textId="77777777" w:rsidTr="00DB55D6">
        <w:tc>
          <w:tcPr>
            <w:tcW w:w="0" w:type="auto"/>
            <w:hideMark/>
          </w:tcPr>
          <w:p w14:paraId="6E3F6FC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Actual DOWN</w:t>
            </w:r>
          </w:p>
        </w:tc>
        <w:tc>
          <w:tcPr>
            <w:tcW w:w="0" w:type="auto"/>
            <w:hideMark/>
          </w:tcPr>
          <w:p w14:paraId="12B0302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8,076 (TN)</w:t>
            </w:r>
          </w:p>
        </w:tc>
        <w:tc>
          <w:tcPr>
            <w:tcW w:w="0" w:type="auto"/>
            <w:hideMark/>
          </w:tcPr>
          <w:p w14:paraId="0C337886" w14:textId="16704C5B"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6,715 (FP)</w:t>
            </w:r>
          </w:p>
        </w:tc>
        <w:tc>
          <w:tcPr>
            <w:tcW w:w="0" w:type="auto"/>
            <w:hideMark/>
          </w:tcPr>
          <w:p w14:paraId="2DA35CE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14,791</w:t>
            </w:r>
          </w:p>
        </w:tc>
      </w:tr>
      <w:tr w:rsidR="00043AF0" w:rsidRPr="00043AF0" w14:paraId="0DD205A9" w14:textId="77777777" w:rsidTr="00DB55D6">
        <w:tc>
          <w:tcPr>
            <w:tcW w:w="0" w:type="auto"/>
            <w:hideMark/>
          </w:tcPr>
          <w:p w14:paraId="491CCAF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Actual UP</w:t>
            </w:r>
          </w:p>
        </w:tc>
        <w:tc>
          <w:tcPr>
            <w:tcW w:w="0" w:type="auto"/>
            <w:hideMark/>
          </w:tcPr>
          <w:p w14:paraId="70A3E3C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14,271 (FN)</w:t>
            </w:r>
          </w:p>
        </w:tc>
        <w:tc>
          <w:tcPr>
            <w:tcW w:w="0" w:type="auto"/>
            <w:hideMark/>
          </w:tcPr>
          <w:p w14:paraId="5A677A3A" w14:textId="3B1A5DBB"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13,568 (TP)</w:t>
            </w:r>
          </w:p>
        </w:tc>
        <w:tc>
          <w:tcPr>
            <w:tcW w:w="0" w:type="auto"/>
            <w:hideMark/>
          </w:tcPr>
          <w:p w14:paraId="4EC8F0F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27,839</w:t>
            </w:r>
          </w:p>
        </w:tc>
      </w:tr>
      <w:tr w:rsidR="00043AF0" w:rsidRPr="00043AF0" w14:paraId="5BB41465" w14:textId="77777777" w:rsidTr="00DB55D6">
        <w:tc>
          <w:tcPr>
            <w:tcW w:w="0" w:type="auto"/>
            <w:hideMark/>
          </w:tcPr>
          <w:p w14:paraId="4D2FDF8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Total</w:t>
            </w:r>
          </w:p>
        </w:tc>
        <w:tc>
          <w:tcPr>
            <w:tcW w:w="0" w:type="auto"/>
            <w:hideMark/>
          </w:tcPr>
          <w:p w14:paraId="409E8A7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22,347</w:t>
            </w:r>
          </w:p>
        </w:tc>
        <w:tc>
          <w:tcPr>
            <w:tcW w:w="0" w:type="auto"/>
            <w:hideMark/>
          </w:tcPr>
          <w:p w14:paraId="1D33DED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20,283</w:t>
            </w:r>
          </w:p>
        </w:tc>
        <w:tc>
          <w:tcPr>
            <w:tcW w:w="0" w:type="auto"/>
            <w:hideMark/>
          </w:tcPr>
          <w:p w14:paraId="69F79FA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42,630</w:t>
            </w:r>
          </w:p>
        </w:tc>
      </w:tr>
    </w:tbl>
    <w:p w14:paraId="267F3AEA" w14:textId="4BD10963"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The confusion matrix reveals important patterns. The model exhibits higher recall for DOWN class (54.6% = 8076/14791) compared to UP class (48.7% = 13568/27839), despite </w:t>
      </w:r>
      <w:proofErr w:type="spellStart"/>
      <w:r w:rsidRPr="00043AF0">
        <w:rPr>
          <w:rFonts w:ascii="Times New Roman" w:hAnsi="Times New Roman" w:cs="Times New Roman"/>
          <w:sz w:val="20"/>
          <w:szCs w:val="20"/>
        </w:rPr>
        <w:t>class_weight</w:t>
      </w:r>
      <w:proofErr w:type="spellEnd"/>
      <w:r w:rsidRPr="00043AF0">
        <w:rPr>
          <w:rFonts w:ascii="Times New Roman" w:hAnsi="Times New Roman" w:cs="Times New Roman"/>
          <w:sz w:val="20"/>
          <w:szCs w:val="20"/>
        </w:rPr>
        <w:t>='balanced' attempting to equalize performance. This suggests that downward movements may have more distinctive technical patterns than upward movements in the Nifty 50 dataset.</w:t>
      </w:r>
    </w:p>
    <w:p w14:paraId="7A03DCC6" w14:textId="6DCBB084"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False negatives (14,271) exceed false positives (6,715), indicating the model is relatively conservative in predicting UP movements. In a risk-averse trading context, this conservative bias may be preferable to aggressive false positive predictions that would enter losing positions.</w:t>
      </w:r>
    </w:p>
    <w:p w14:paraId="013999DC"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B. Feature Importance Analysis</w:t>
      </w:r>
    </w:p>
    <w:p w14:paraId="19D03F34" w14:textId="4CBD8F2A"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Random Forest provides feature importance through mean decrease in Gini impurity across all trees. Table VI ranks features by importance.</w:t>
      </w:r>
    </w:p>
    <w:p w14:paraId="65155CCC" w14:textId="7D3D314A"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TABLE VI: FEATURE IMPORTANCE RANKINGS</w:t>
      </w:r>
    </w:p>
    <w:tbl>
      <w:tblPr>
        <w:tblStyle w:val="TableGrid"/>
        <w:tblW w:w="0" w:type="auto"/>
        <w:tblLook w:val="04A0" w:firstRow="1" w:lastRow="0" w:firstColumn="1" w:lastColumn="0" w:noHBand="0" w:noVBand="1"/>
      </w:tblPr>
      <w:tblGrid>
        <w:gridCol w:w="608"/>
        <w:gridCol w:w="1306"/>
        <w:gridCol w:w="1055"/>
        <w:gridCol w:w="1055"/>
        <w:gridCol w:w="999"/>
      </w:tblGrid>
      <w:tr w:rsidR="00043AF0" w:rsidRPr="00043AF0" w14:paraId="008BC1D5" w14:textId="77777777" w:rsidTr="00DB55D6">
        <w:tc>
          <w:tcPr>
            <w:tcW w:w="0" w:type="auto"/>
            <w:hideMark/>
          </w:tcPr>
          <w:p w14:paraId="7F95D835"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Rank</w:t>
            </w:r>
          </w:p>
        </w:tc>
        <w:tc>
          <w:tcPr>
            <w:tcW w:w="0" w:type="auto"/>
            <w:hideMark/>
          </w:tcPr>
          <w:p w14:paraId="32946689"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Feature</w:t>
            </w:r>
          </w:p>
        </w:tc>
        <w:tc>
          <w:tcPr>
            <w:tcW w:w="0" w:type="auto"/>
            <w:hideMark/>
          </w:tcPr>
          <w:p w14:paraId="022E6439"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Importance</w:t>
            </w:r>
          </w:p>
        </w:tc>
        <w:tc>
          <w:tcPr>
            <w:tcW w:w="0" w:type="auto"/>
            <w:hideMark/>
          </w:tcPr>
          <w:p w14:paraId="48C79900"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Cumulative</w:t>
            </w:r>
          </w:p>
        </w:tc>
        <w:tc>
          <w:tcPr>
            <w:tcW w:w="0" w:type="auto"/>
            <w:hideMark/>
          </w:tcPr>
          <w:p w14:paraId="2C457AFB"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Category</w:t>
            </w:r>
          </w:p>
        </w:tc>
      </w:tr>
      <w:tr w:rsidR="00043AF0" w:rsidRPr="00043AF0" w14:paraId="60435D2E" w14:textId="77777777" w:rsidTr="00DB55D6">
        <w:tc>
          <w:tcPr>
            <w:tcW w:w="0" w:type="auto"/>
            <w:hideMark/>
          </w:tcPr>
          <w:p w14:paraId="0C97C94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w:t>
            </w:r>
          </w:p>
        </w:tc>
        <w:tc>
          <w:tcPr>
            <w:tcW w:w="0" w:type="auto"/>
            <w:hideMark/>
          </w:tcPr>
          <w:p w14:paraId="36111B1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ma_200</w:t>
            </w:r>
          </w:p>
        </w:tc>
        <w:tc>
          <w:tcPr>
            <w:tcW w:w="0" w:type="auto"/>
            <w:hideMark/>
          </w:tcPr>
          <w:p w14:paraId="4948D0C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19.05%</w:t>
            </w:r>
          </w:p>
        </w:tc>
        <w:tc>
          <w:tcPr>
            <w:tcW w:w="0" w:type="auto"/>
            <w:hideMark/>
          </w:tcPr>
          <w:p w14:paraId="097D4F4A" w14:textId="3CC6DB9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19.05%</w:t>
            </w:r>
          </w:p>
        </w:tc>
        <w:tc>
          <w:tcPr>
            <w:tcW w:w="0" w:type="auto"/>
            <w:hideMark/>
          </w:tcPr>
          <w:p w14:paraId="27576ED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Trend</w:t>
            </w:r>
          </w:p>
        </w:tc>
      </w:tr>
      <w:tr w:rsidR="00043AF0" w:rsidRPr="00043AF0" w14:paraId="1BEBCEE0" w14:textId="77777777" w:rsidTr="00DB55D6">
        <w:tc>
          <w:tcPr>
            <w:tcW w:w="0" w:type="auto"/>
            <w:hideMark/>
          </w:tcPr>
          <w:p w14:paraId="135AA75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w:t>
            </w:r>
          </w:p>
        </w:tc>
        <w:tc>
          <w:tcPr>
            <w:tcW w:w="0" w:type="auto"/>
            <w:hideMark/>
          </w:tcPr>
          <w:p w14:paraId="17D1C71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ma_50</w:t>
            </w:r>
          </w:p>
        </w:tc>
        <w:tc>
          <w:tcPr>
            <w:tcW w:w="0" w:type="auto"/>
            <w:hideMark/>
          </w:tcPr>
          <w:p w14:paraId="65CE753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14.72%</w:t>
            </w:r>
          </w:p>
        </w:tc>
        <w:tc>
          <w:tcPr>
            <w:tcW w:w="0" w:type="auto"/>
            <w:hideMark/>
          </w:tcPr>
          <w:p w14:paraId="3C73DF5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33.77%</w:t>
            </w:r>
          </w:p>
        </w:tc>
        <w:tc>
          <w:tcPr>
            <w:tcW w:w="0" w:type="auto"/>
            <w:hideMark/>
          </w:tcPr>
          <w:p w14:paraId="444B684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Trend</w:t>
            </w:r>
          </w:p>
        </w:tc>
      </w:tr>
      <w:tr w:rsidR="00043AF0" w:rsidRPr="00043AF0" w14:paraId="1829C041" w14:textId="77777777" w:rsidTr="00DB55D6">
        <w:tc>
          <w:tcPr>
            <w:tcW w:w="0" w:type="auto"/>
            <w:hideMark/>
          </w:tcPr>
          <w:p w14:paraId="406C168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w:t>
            </w:r>
          </w:p>
        </w:tc>
        <w:tc>
          <w:tcPr>
            <w:tcW w:w="0" w:type="auto"/>
            <w:hideMark/>
          </w:tcPr>
          <w:p w14:paraId="0DA8365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ma_10</w:t>
            </w:r>
          </w:p>
        </w:tc>
        <w:tc>
          <w:tcPr>
            <w:tcW w:w="0" w:type="auto"/>
            <w:hideMark/>
          </w:tcPr>
          <w:p w14:paraId="093A966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14.36%</w:t>
            </w:r>
          </w:p>
        </w:tc>
        <w:tc>
          <w:tcPr>
            <w:tcW w:w="0" w:type="auto"/>
            <w:hideMark/>
          </w:tcPr>
          <w:p w14:paraId="27A7E61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48.13%</w:t>
            </w:r>
          </w:p>
        </w:tc>
        <w:tc>
          <w:tcPr>
            <w:tcW w:w="0" w:type="auto"/>
            <w:hideMark/>
          </w:tcPr>
          <w:p w14:paraId="6F33254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Trend</w:t>
            </w:r>
          </w:p>
        </w:tc>
      </w:tr>
      <w:tr w:rsidR="00043AF0" w:rsidRPr="00043AF0" w14:paraId="10CC5676" w14:textId="77777777" w:rsidTr="00DB55D6">
        <w:tc>
          <w:tcPr>
            <w:tcW w:w="0" w:type="auto"/>
            <w:hideMark/>
          </w:tcPr>
          <w:p w14:paraId="14C13E9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w:t>
            </w:r>
          </w:p>
        </w:tc>
        <w:tc>
          <w:tcPr>
            <w:tcW w:w="0" w:type="auto"/>
            <w:hideMark/>
          </w:tcPr>
          <w:p w14:paraId="548A79B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volatility_60d</w:t>
            </w:r>
          </w:p>
        </w:tc>
        <w:tc>
          <w:tcPr>
            <w:tcW w:w="0" w:type="auto"/>
            <w:hideMark/>
          </w:tcPr>
          <w:p w14:paraId="5F6D874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13.98%</w:t>
            </w:r>
          </w:p>
        </w:tc>
        <w:tc>
          <w:tcPr>
            <w:tcW w:w="0" w:type="auto"/>
            <w:hideMark/>
          </w:tcPr>
          <w:p w14:paraId="07EA8D8D" w14:textId="2DD8BE0C"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62.11%</w:t>
            </w:r>
          </w:p>
        </w:tc>
        <w:tc>
          <w:tcPr>
            <w:tcW w:w="0" w:type="auto"/>
            <w:hideMark/>
          </w:tcPr>
          <w:p w14:paraId="4C4511E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Volatility</w:t>
            </w:r>
          </w:p>
        </w:tc>
      </w:tr>
      <w:tr w:rsidR="00043AF0" w:rsidRPr="00043AF0" w14:paraId="5AC81D86" w14:textId="77777777" w:rsidTr="00DB55D6">
        <w:tc>
          <w:tcPr>
            <w:tcW w:w="0" w:type="auto"/>
            <w:hideMark/>
          </w:tcPr>
          <w:p w14:paraId="0A1D9F4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w:t>
            </w:r>
          </w:p>
        </w:tc>
        <w:tc>
          <w:tcPr>
            <w:tcW w:w="0" w:type="auto"/>
            <w:hideMark/>
          </w:tcPr>
          <w:p w14:paraId="2D74E37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price_to_ma200</w:t>
            </w:r>
          </w:p>
        </w:tc>
        <w:tc>
          <w:tcPr>
            <w:tcW w:w="0" w:type="auto"/>
            <w:hideMark/>
          </w:tcPr>
          <w:p w14:paraId="78469F7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10.25%</w:t>
            </w:r>
          </w:p>
        </w:tc>
        <w:tc>
          <w:tcPr>
            <w:tcW w:w="0" w:type="auto"/>
            <w:hideMark/>
          </w:tcPr>
          <w:p w14:paraId="4861BA7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72.36%</w:t>
            </w:r>
          </w:p>
        </w:tc>
        <w:tc>
          <w:tcPr>
            <w:tcW w:w="0" w:type="auto"/>
            <w:hideMark/>
          </w:tcPr>
          <w:p w14:paraId="683BD78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Trend</w:t>
            </w:r>
          </w:p>
        </w:tc>
      </w:tr>
      <w:tr w:rsidR="00043AF0" w:rsidRPr="00043AF0" w14:paraId="6147E7C5" w14:textId="77777777" w:rsidTr="00DB55D6">
        <w:tc>
          <w:tcPr>
            <w:tcW w:w="0" w:type="auto"/>
            <w:hideMark/>
          </w:tcPr>
          <w:p w14:paraId="4A21827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lastRenderedPageBreak/>
              <w:t>6</w:t>
            </w:r>
          </w:p>
        </w:tc>
        <w:tc>
          <w:tcPr>
            <w:tcW w:w="0" w:type="auto"/>
            <w:hideMark/>
          </w:tcPr>
          <w:p w14:paraId="0296A81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volatility_20d</w:t>
            </w:r>
          </w:p>
        </w:tc>
        <w:tc>
          <w:tcPr>
            <w:tcW w:w="0" w:type="auto"/>
            <w:hideMark/>
          </w:tcPr>
          <w:p w14:paraId="68BBF95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7.86%</w:t>
            </w:r>
          </w:p>
        </w:tc>
        <w:tc>
          <w:tcPr>
            <w:tcW w:w="0" w:type="auto"/>
            <w:hideMark/>
          </w:tcPr>
          <w:p w14:paraId="0E5936C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80.22%</w:t>
            </w:r>
          </w:p>
        </w:tc>
        <w:tc>
          <w:tcPr>
            <w:tcW w:w="0" w:type="auto"/>
            <w:hideMark/>
          </w:tcPr>
          <w:p w14:paraId="0F98502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Volatility</w:t>
            </w:r>
          </w:p>
        </w:tc>
      </w:tr>
      <w:tr w:rsidR="00043AF0" w:rsidRPr="00043AF0" w14:paraId="2D5AE84A" w14:textId="77777777" w:rsidTr="00DB55D6">
        <w:tc>
          <w:tcPr>
            <w:tcW w:w="0" w:type="auto"/>
            <w:hideMark/>
          </w:tcPr>
          <w:p w14:paraId="1E93573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7</w:t>
            </w:r>
          </w:p>
        </w:tc>
        <w:tc>
          <w:tcPr>
            <w:tcW w:w="0" w:type="auto"/>
            <w:hideMark/>
          </w:tcPr>
          <w:p w14:paraId="1585D35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price_to_ma50</w:t>
            </w:r>
          </w:p>
        </w:tc>
        <w:tc>
          <w:tcPr>
            <w:tcW w:w="0" w:type="auto"/>
            <w:hideMark/>
          </w:tcPr>
          <w:p w14:paraId="4A097BD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5.77%</w:t>
            </w:r>
          </w:p>
        </w:tc>
        <w:tc>
          <w:tcPr>
            <w:tcW w:w="0" w:type="auto"/>
            <w:hideMark/>
          </w:tcPr>
          <w:p w14:paraId="68E0824D" w14:textId="3918DA9E"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85.99%</w:t>
            </w:r>
          </w:p>
        </w:tc>
        <w:tc>
          <w:tcPr>
            <w:tcW w:w="0" w:type="auto"/>
            <w:hideMark/>
          </w:tcPr>
          <w:p w14:paraId="07F3C1B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Trend</w:t>
            </w:r>
          </w:p>
        </w:tc>
      </w:tr>
      <w:tr w:rsidR="00043AF0" w:rsidRPr="00043AF0" w14:paraId="58F3DDA2" w14:textId="77777777" w:rsidTr="00DB55D6">
        <w:tc>
          <w:tcPr>
            <w:tcW w:w="0" w:type="auto"/>
            <w:hideMark/>
          </w:tcPr>
          <w:p w14:paraId="138E26D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8</w:t>
            </w:r>
          </w:p>
        </w:tc>
        <w:tc>
          <w:tcPr>
            <w:tcW w:w="0" w:type="auto"/>
            <w:hideMark/>
          </w:tcPr>
          <w:p w14:paraId="4F73E1C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return_20d</w:t>
            </w:r>
          </w:p>
        </w:tc>
        <w:tc>
          <w:tcPr>
            <w:tcW w:w="0" w:type="auto"/>
            <w:hideMark/>
          </w:tcPr>
          <w:p w14:paraId="2BA9CF4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3.71%</w:t>
            </w:r>
          </w:p>
        </w:tc>
        <w:tc>
          <w:tcPr>
            <w:tcW w:w="0" w:type="auto"/>
            <w:hideMark/>
          </w:tcPr>
          <w:p w14:paraId="2C80FEC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89.70%</w:t>
            </w:r>
          </w:p>
        </w:tc>
        <w:tc>
          <w:tcPr>
            <w:tcW w:w="0" w:type="auto"/>
            <w:hideMark/>
          </w:tcPr>
          <w:p w14:paraId="6BB9FB8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Returns</w:t>
            </w:r>
          </w:p>
        </w:tc>
      </w:tr>
      <w:tr w:rsidR="00043AF0" w:rsidRPr="00043AF0" w14:paraId="39E0C92B" w14:textId="77777777" w:rsidTr="00DB55D6">
        <w:tc>
          <w:tcPr>
            <w:tcW w:w="0" w:type="auto"/>
            <w:hideMark/>
          </w:tcPr>
          <w:p w14:paraId="1E8A7D7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9</w:t>
            </w:r>
          </w:p>
        </w:tc>
        <w:tc>
          <w:tcPr>
            <w:tcW w:w="0" w:type="auto"/>
            <w:hideMark/>
          </w:tcPr>
          <w:p w14:paraId="41FC5AD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rsi_14</w:t>
            </w:r>
          </w:p>
        </w:tc>
        <w:tc>
          <w:tcPr>
            <w:tcW w:w="0" w:type="auto"/>
            <w:hideMark/>
          </w:tcPr>
          <w:p w14:paraId="093568F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2.91%</w:t>
            </w:r>
          </w:p>
        </w:tc>
        <w:tc>
          <w:tcPr>
            <w:tcW w:w="0" w:type="auto"/>
            <w:hideMark/>
          </w:tcPr>
          <w:p w14:paraId="61094996" w14:textId="023B9090"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92.61%</w:t>
            </w:r>
          </w:p>
        </w:tc>
        <w:tc>
          <w:tcPr>
            <w:tcW w:w="0" w:type="auto"/>
            <w:hideMark/>
          </w:tcPr>
          <w:p w14:paraId="3C58E89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Momentum</w:t>
            </w:r>
          </w:p>
        </w:tc>
      </w:tr>
      <w:tr w:rsidR="00043AF0" w:rsidRPr="00043AF0" w14:paraId="504908C4" w14:textId="77777777" w:rsidTr="00DB55D6">
        <w:tc>
          <w:tcPr>
            <w:tcW w:w="0" w:type="auto"/>
            <w:hideMark/>
          </w:tcPr>
          <w:p w14:paraId="7F92534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10</w:t>
            </w:r>
          </w:p>
        </w:tc>
        <w:tc>
          <w:tcPr>
            <w:tcW w:w="0" w:type="auto"/>
            <w:hideMark/>
          </w:tcPr>
          <w:p w14:paraId="2B92CBA0" w14:textId="77777777" w:rsidR="00043AF0" w:rsidRPr="00043AF0" w:rsidRDefault="00043AF0" w:rsidP="00043AF0">
            <w:pPr>
              <w:jc w:val="both"/>
              <w:rPr>
                <w:rFonts w:ascii="Times New Roman" w:hAnsi="Times New Roman" w:cs="Times New Roman"/>
                <w:sz w:val="20"/>
                <w:szCs w:val="20"/>
              </w:rPr>
            </w:pPr>
            <w:proofErr w:type="spellStart"/>
            <w:r w:rsidRPr="00043AF0">
              <w:rPr>
                <w:rFonts w:ascii="Times New Roman" w:hAnsi="Times New Roman" w:cs="Times New Roman"/>
                <w:sz w:val="20"/>
                <w:szCs w:val="20"/>
              </w:rPr>
              <w:t>volume_ratio</w:t>
            </w:r>
            <w:proofErr w:type="spellEnd"/>
          </w:p>
        </w:tc>
        <w:tc>
          <w:tcPr>
            <w:tcW w:w="0" w:type="auto"/>
            <w:hideMark/>
          </w:tcPr>
          <w:p w14:paraId="399A8F5E" w14:textId="4C700C4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1.88%</w:t>
            </w:r>
          </w:p>
        </w:tc>
        <w:tc>
          <w:tcPr>
            <w:tcW w:w="0" w:type="auto"/>
            <w:hideMark/>
          </w:tcPr>
          <w:p w14:paraId="797AE59B" w14:textId="1361646E"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94.49%</w:t>
            </w:r>
          </w:p>
        </w:tc>
        <w:tc>
          <w:tcPr>
            <w:tcW w:w="0" w:type="auto"/>
            <w:hideMark/>
          </w:tcPr>
          <w:p w14:paraId="7AC7710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Volume</w:t>
            </w:r>
          </w:p>
        </w:tc>
      </w:tr>
    </w:tbl>
    <w:p w14:paraId="1CE22996" w14:textId="3046F7EC" w:rsidR="00043AF0" w:rsidRPr="00043AF0" w:rsidRDefault="00772F01" w:rsidP="00043AF0">
      <w:pPr>
        <w:jc w:val="both"/>
        <w:rPr>
          <w:rFonts w:ascii="Times New Roman" w:hAnsi="Times New Roman" w:cs="Times New Roman"/>
          <w:sz w:val="20"/>
          <w:szCs w:val="20"/>
        </w:rPr>
      </w:pPr>
      <w:r w:rsidRPr="00772F01">
        <w:rPr>
          <w:rFonts w:ascii="Times New Roman" w:hAnsi="Times New Roman" w:cs="Times New Roman"/>
          <w:sz w:val="20"/>
          <w:szCs w:val="20"/>
        </w:rPr>
        <w:t xml:space="preserve"> </w:t>
      </w:r>
      <w:r w:rsidR="00043AF0" w:rsidRPr="00043AF0">
        <w:rPr>
          <w:rFonts w:ascii="Times New Roman" w:hAnsi="Times New Roman" w:cs="Times New Roman"/>
          <w:sz w:val="20"/>
          <w:szCs w:val="20"/>
        </w:rPr>
        <w:t>(Remaining 4 features contribute 5.51%)</w:t>
      </w:r>
    </w:p>
    <w:p w14:paraId="54FA3D95" w14:textId="6E31FE30" w:rsidR="00772F01" w:rsidRDefault="00772F01" w:rsidP="00043AF0">
      <w:pPr>
        <w:jc w:val="both"/>
        <w:rPr>
          <w:rFonts w:ascii="Times New Roman" w:hAnsi="Times New Roman" w:cs="Times New Roman"/>
          <w:sz w:val="20"/>
          <w:szCs w:val="20"/>
        </w:rPr>
      </w:pPr>
    </w:p>
    <w:p w14:paraId="6F55C50B" w14:textId="122B9A6B"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Moving average features dominate importance, collectively contributing 48.1% (ma_10 + ma_50 + ma_200 + price_to_ma50 + price_to_ma200 = 64.15%). This confirms that trend-following signals encoded in moving averages are the strongest predictors of medium-term (60-day) stock direction.</w:t>
      </w:r>
    </w:p>
    <w:p w14:paraId="48752FEE" w14:textId="5A8BE154" w:rsidR="00043AF0" w:rsidRPr="00043AF0" w:rsidRDefault="00C8361E" w:rsidP="00043AF0">
      <w:pPr>
        <w:jc w:val="both"/>
        <w:rPr>
          <w:rFonts w:ascii="Times New Roman" w:hAnsi="Times New Roman" w:cs="Times New Roman"/>
          <w:sz w:val="20"/>
          <w:szCs w:val="20"/>
        </w:rPr>
      </w:pPr>
      <w:r w:rsidRPr="00772F01">
        <w:rPr>
          <w:rFonts w:ascii="Times New Roman" w:hAnsi="Times New Roman" w:cs="Times New Roman"/>
          <w:sz w:val="20"/>
          <w:szCs w:val="20"/>
        </w:rPr>
        <w:drawing>
          <wp:anchor distT="0" distB="0" distL="114300" distR="114300" simplePos="0" relativeHeight="251658240" behindDoc="0" locked="0" layoutInCell="1" allowOverlap="1" wp14:anchorId="1544ECF0" wp14:editId="755BF411">
            <wp:simplePos x="0" y="0"/>
            <wp:positionH relativeFrom="column">
              <wp:posOffset>83185</wp:posOffset>
            </wp:positionH>
            <wp:positionV relativeFrom="paragraph">
              <wp:posOffset>939800</wp:posOffset>
            </wp:positionV>
            <wp:extent cx="2849880" cy="1983105"/>
            <wp:effectExtent l="0" t="0" r="7620" b="0"/>
            <wp:wrapTopAndBottom/>
            <wp:docPr id="65849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579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9880" cy="1983105"/>
                    </a:xfrm>
                    <a:prstGeom prst="rect">
                      <a:avLst/>
                    </a:prstGeom>
                  </pic:spPr>
                </pic:pic>
              </a:graphicData>
            </a:graphic>
          </wp:anchor>
        </w:drawing>
      </w:r>
      <w:r w:rsidR="00043AF0" w:rsidRPr="00043AF0">
        <w:rPr>
          <w:rFonts w:ascii="Times New Roman" w:hAnsi="Times New Roman" w:cs="Times New Roman"/>
          <w:sz w:val="20"/>
          <w:szCs w:val="20"/>
        </w:rPr>
        <w:t>The prominence of ma_200 (19.05%) aligns with classical technical analysis literature, which emphasizes the 200-day moving average as a key trend indicator. Stocks trading above their 200-day MA are considered in long-term uptrends, while those below are in downtrends [11].</w:t>
      </w:r>
    </w:p>
    <w:p w14:paraId="566DA9F7" w14:textId="1CD67374" w:rsidR="00C8361E" w:rsidRDefault="00C8361E" w:rsidP="00C8361E">
      <w:pPr>
        <w:jc w:val="center"/>
        <w:rPr>
          <w:rFonts w:ascii="Times New Roman" w:hAnsi="Times New Roman" w:cs="Times New Roman"/>
          <w:sz w:val="20"/>
          <w:szCs w:val="20"/>
        </w:rPr>
      </w:pPr>
      <w:r>
        <w:rPr>
          <w:rFonts w:ascii="Times New Roman" w:hAnsi="Times New Roman" w:cs="Times New Roman"/>
          <w:sz w:val="20"/>
          <w:szCs w:val="20"/>
        </w:rPr>
        <w:t>Fig</w:t>
      </w:r>
      <w:r w:rsidR="007D23E1">
        <w:rPr>
          <w:rFonts w:ascii="Times New Roman" w:hAnsi="Times New Roman" w:cs="Times New Roman"/>
          <w:sz w:val="20"/>
          <w:szCs w:val="20"/>
        </w:rPr>
        <w:t xml:space="preserve"> 4</w:t>
      </w:r>
      <w:r>
        <w:rPr>
          <w:rFonts w:ascii="Times New Roman" w:hAnsi="Times New Roman" w:cs="Times New Roman"/>
          <w:sz w:val="20"/>
          <w:szCs w:val="20"/>
        </w:rPr>
        <w:t xml:space="preserve">: feature importances for random forest </w:t>
      </w:r>
    </w:p>
    <w:p w14:paraId="52BC9DE5" w14:textId="62277AFB"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Volatility measures rank 4th (volatility_60d, 13.98%) and 6th (volatility_20d, 7.86%), collectively contributing 21.84%. This suggests that risk dynamics—characterized by price instability—provide valuable signals distinct from directional trend information. Higher volatility may indicate uncertainty or regime transitions that affect future price movements.</w:t>
      </w:r>
    </w:p>
    <w:p w14:paraId="29022B44" w14:textId="71F244DA"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Momentum indicators (return_20d at 3.71%, rsi_14 at 2.91%) show relatively low importance. This suggests that short-term momentum has weaker predictive power for 60-day direction compared to longer-term trend indicators. This finding is consistent with mean-reversion theories that suggest short-term price movements tend to reverse rather than continue over medium-term horizons.</w:t>
      </w:r>
    </w:p>
    <w:p w14:paraId="534297B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Volume ratio (1.88%) contributes minimal importance, potentially because the model learns that volume patterns are less informative than price-based features for the 60-day prediction task in Indian markets.</w:t>
      </w:r>
    </w:p>
    <w:p w14:paraId="3CC2E9F3"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C. Sector-Level Performance Analysis</w:t>
      </w:r>
    </w:p>
    <w:p w14:paraId="1C95D80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Table VII examines model performance across 13 sectors represented in the Nifty 50 index.</w:t>
      </w:r>
    </w:p>
    <w:p w14:paraId="3B8D930F" w14:textId="21A1D36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TABLE VII: PERFORMANCE BY SECTOR</w:t>
      </w:r>
    </w:p>
    <w:tbl>
      <w:tblPr>
        <w:tblStyle w:val="TableGrid"/>
        <w:tblW w:w="0" w:type="auto"/>
        <w:tblLook w:val="04A0" w:firstRow="1" w:lastRow="0" w:firstColumn="1" w:lastColumn="0" w:noHBand="0" w:noVBand="1"/>
      </w:tblPr>
      <w:tblGrid>
        <w:gridCol w:w="1277"/>
        <w:gridCol w:w="758"/>
        <w:gridCol w:w="1155"/>
        <w:gridCol w:w="818"/>
        <w:gridCol w:w="1015"/>
      </w:tblGrid>
      <w:tr w:rsidR="00043AF0" w:rsidRPr="00043AF0" w14:paraId="78368C66" w14:textId="77777777" w:rsidTr="00DB55D6">
        <w:tc>
          <w:tcPr>
            <w:tcW w:w="0" w:type="auto"/>
            <w:hideMark/>
          </w:tcPr>
          <w:p w14:paraId="414F6C5C"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Sector</w:t>
            </w:r>
          </w:p>
        </w:tc>
        <w:tc>
          <w:tcPr>
            <w:tcW w:w="0" w:type="auto"/>
            <w:hideMark/>
          </w:tcPr>
          <w:p w14:paraId="1EFCCAF5"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Stocks</w:t>
            </w:r>
          </w:p>
        </w:tc>
        <w:tc>
          <w:tcPr>
            <w:tcW w:w="0" w:type="auto"/>
            <w:hideMark/>
          </w:tcPr>
          <w:p w14:paraId="6302E20F"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Test Predictions</w:t>
            </w:r>
          </w:p>
        </w:tc>
        <w:tc>
          <w:tcPr>
            <w:tcW w:w="0" w:type="auto"/>
            <w:hideMark/>
          </w:tcPr>
          <w:p w14:paraId="00A7371D"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Win Rate</w:t>
            </w:r>
          </w:p>
        </w:tc>
        <w:tc>
          <w:tcPr>
            <w:tcW w:w="0" w:type="auto"/>
            <w:hideMark/>
          </w:tcPr>
          <w:p w14:paraId="29FA08F6"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Avg Prob(UP)</w:t>
            </w:r>
          </w:p>
        </w:tc>
      </w:tr>
      <w:tr w:rsidR="00043AF0" w:rsidRPr="00043AF0" w14:paraId="02F97EB8" w14:textId="77777777" w:rsidTr="00DB55D6">
        <w:tc>
          <w:tcPr>
            <w:tcW w:w="0" w:type="auto"/>
            <w:hideMark/>
          </w:tcPr>
          <w:p w14:paraId="5FB511E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Healthcare</w:t>
            </w:r>
          </w:p>
        </w:tc>
        <w:tc>
          <w:tcPr>
            <w:tcW w:w="0" w:type="auto"/>
            <w:hideMark/>
          </w:tcPr>
          <w:p w14:paraId="407C183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w:t>
            </w:r>
          </w:p>
        </w:tc>
        <w:tc>
          <w:tcPr>
            <w:tcW w:w="0" w:type="auto"/>
            <w:hideMark/>
          </w:tcPr>
          <w:p w14:paraId="73B8EAC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870</w:t>
            </w:r>
          </w:p>
        </w:tc>
        <w:tc>
          <w:tcPr>
            <w:tcW w:w="0" w:type="auto"/>
            <w:hideMark/>
          </w:tcPr>
          <w:p w14:paraId="1813285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68.05%</w:t>
            </w:r>
          </w:p>
        </w:tc>
        <w:tc>
          <w:tcPr>
            <w:tcW w:w="0" w:type="auto"/>
            <w:hideMark/>
          </w:tcPr>
          <w:p w14:paraId="31FE471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0.5933</w:t>
            </w:r>
          </w:p>
        </w:tc>
      </w:tr>
      <w:tr w:rsidR="00043AF0" w:rsidRPr="00043AF0" w14:paraId="1CA2A00F" w14:textId="77777777" w:rsidTr="00DB55D6">
        <w:tc>
          <w:tcPr>
            <w:tcW w:w="0" w:type="auto"/>
            <w:hideMark/>
          </w:tcPr>
          <w:p w14:paraId="387F120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IT</w:t>
            </w:r>
          </w:p>
        </w:tc>
        <w:tc>
          <w:tcPr>
            <w:tcW w:w="0" w:type="auto"/>
            <w:hideMark/>
          </w:tcPr>
          <w:p w14:paraId="7DE2EDA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6</w:t>
            </w:r>
          </w:p>
        </w:tc>
        <w:tc>
          <w:tcPr>
            <w:tcW w:w="0" w:type="auto"/>
            <w:hideMark/>
          </w:tcPr>
          <w:p w14:paraId="05C349F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5,220</w:t>
            </w:r>
          </w:p>
        </w:tc>
        <w:tc>
          <w:tcPr>
            <w:tcW w:w="0" w:type="auto"/>
            <w:hideMark/>
          </w:tcPr>
          <w:p w14:paraId="2FF8D0E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56.72%</w:t>
            </w:r>
          </w:p>
        </w:tc>
        <w:tc>
          <w:tcPr>
            <w:tcW w:w="0" w:type="auto"/>
            <w:hideMark/>
          </w:tcPr>
          <w:p w14:paraId="7773481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0.5153</w:t>
            </w:r>
          </w:p>
        </w:tc>
      </w:tr>
      <w:tr w:rsidR="00043AF0" w:rsidRPr="00043AF0" w14:paraId="3EC42E2C" w14:textId="77777777" w:rsidTr="00DB55D6">
        <w:tc>
          <w:tcPr>
            <w:tcW w:w="0" w:type="auto"/>
            <w:hideMark/>
          </w:tcPr>
          <w:p w14:paraId="25E32E5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Cement</w:t>
            </w:r>
          </w:p>
        </w:tc>
        <w:tc>
          <w:tcPr>
            <w:tcW w:w="0" w:type="auto"/>
            <w:hideMark/>
          </w:tcPr>
          <w:p w14:paraId="1775F07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w:t>
            </w:r>
          </w:p>
        </w:tc>
        <w:tc>
          <w:tcPr>
            <w:tcW w:w="0" w:type="auto"/>
            <w:hideMark/>
          </w:tcPr>
          <w:p w14:paraId="2295C5F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2,610</w:t>
            </w:r>
          </w:p>
        </w:tc>
        <w:tc>
          <w:tcPr>
            <w:tcW w:w="0" w:type="auto"/>
            <w:hideMark/>
          </w:tcPr>
          <w:p w14:paraId="66D76C7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54.87%</w:t>
            </w:r>
          </w:p>
        </w:tc>
        <w:tc>
          <w:tcPr>
            <w:tcW w:w="0" w:type="auto"/>
            <w:hideMark/>
          </w:tcPr>
          <w:p w14:paraId="7168063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0.4599</w:t>
            </w:r>
          </w:p>
        </w:tc>
      </w:tr>
      <w:tr w:rsidR="00043AF0" w:rsidRPr="00043AF0" w14:paraId="7E1518B9" w14:textId="77777777" w:rsidTr="00DB55D6">
        <w:tc>
          <w:tcPr>
            <w:tcW w:w="0" w:type="auto"/>
            <w:hideMark/>
          </w:tcPr>
          <w:p w14:paraId="072C29E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Consumer Durables</w:t>
            </w:r>
          </w:p>
        </w:tc>
        <w:tc>
          <w:tcPr>
            <w:tcW w:w="0" w:type="auto"/>
            <w:hideMark/>
          </w:tcPr>
          <w:p w14:paraId="445117B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w:t>
            </w:r>
          </w:p>
        </w:tc>
        <w:tc>
          <w:tcPr>
            <w:tcW w:w="0" w:type="auto"/>
            <w:hideMark/>
          </w:tcPr>
          <w:p w14:paraId="76072D7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1,740</w:t>
            </w:r>
          </w:p>
        </w:tc>
        <w:tc>
          <w:tcPr>
            <w:tcW w:w="0" w:type="auto"/>
            <w:hideMark/>
          </w:tcPr>
          <w:p w14:paraId="0C68A06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54.02%</w:t>
            </w:r>
          </w:p>
        </w:tc>
        <w:tc>
          <w:tcPr>
            <w:tcW w:w="0" w:type="auto"/>
            <w:hideMark/>
          </w:tcPr>
          <w:p w14:paraId="24DE454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0.5113</w:t>
            </w:r>
          </w:p>
        </w:tc>
      </w:tr>
      <w:tr w:rsidR="00043AF0" w:rsidRPr="00043AF0" w14:paraId="7EE6CA19" w14:textId="77777777" w:rsidTr="00DB55D6">
        <w:tc>
          <w:tcPr>
            <w:tcW w:w="0" w:type="auto"/>
            <w:hideMark/>
          </w:tcPr>
          <w:p w14:paraId="0A62602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FMCG</w:t>
            </w:r>
          </w:p>
        </w:tc>
        <w:tc>
          <w:tcPr>
            <w:tcW w:w="0" w:type="auto"/>
            <w:hideMark/>
          </w:tcPr>
          <w:p w14:paraId="7B1078A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w:t>
            </w:r>
          </w:p>
        </w:tc>
        <w:tc>
          <w:tcPr>
            <w:tcW w:w="0" w:type="auto"/>
            <w:hideMark/>
          </w:tcPr>
          <w:p w14:paraId="41F0DA5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4,350</w:t>
            </w:r>
          </w:p>
        </w:tc>
        <w:tc>
          <w:tcPr>
            <w:tcW w:w="0" w:type="auto"/>
            <w:hideMark/>
          </w:tcPr>
          <w:p w14:paraId="4FF4D5E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52.80%</w:t>
            </w:r>
          </w:p>
        </w:tc>
        <w:tc>
          <w:tcPr>
            <w:tcW w:w="0" w:type="auto"/>
            <w:hideMark/>
          </w:tcPr>
          <w:p w14:paraId="7EBEF5C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0.5336</w:t>
            </w:r>
          </w:p>
        </w:tc>
      </w:tr>
      <w:tr w:rsidR="00043AF0" w:rsidRPr="00043AF0" w14:paraId="6281B4AD" w14:textId="77777777" w:rsidTr="00DB55D6">
        <w:tc>
          <w:tcPr>
            <w:tcW w:w="0" w:type="auto"/>
            <w:hideMark/>
          </w:tcPr>
          <w:p w14:paraId="76E40AF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Financials</w:t>
            </w:r>
          </w:p>
        </w:tc>
        <w:tc>
          <w:tcPr>
            <w:tcW w:w="0" w:type="auto"/>
            <w:hideMark/>
          </w:tcPr>
          <w:p w14:paraId="258525C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10</w:t>
            </w:r>
          </w:p>
        </w:tc>
        <w:tc>
          <w:tcPr>
            <w:tcW w:w="0" w:type="auto"/>
            <w:hideMark/>
          </w:tcPr>
          <w:p w14:paraId="000830B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8,700</w:t>
            </w:r>
          </w:p>
        </w:tc>
        <w:tc>
          <w:tcPr>
            <w:tcW w:w="0" w:type="auto"/>
            <w:hideMark/>
          </w:tcPr>
          <w:p w14:paraId="5541D75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51.69%</w:t>
            </w:r>
          </w:p>
        </w:tc>
        <w:tc>
          <w:tcPr>
            <w:tcW w:w="0" w:type="auto"/>
            <w:hideMark/>
          </w:tcPr>
          <w:p w14:paraId="59EFE06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0.5085</w:t>
            </w:r>
          </w:p>
        </w:tc>
      </w:tr>
      <w:tr w:rsidR="00043AF0" w:rsidRPr="00043AF0" w14:paraId="477E16F3" w14:textId="77777777" w:rsidTr="00DB55D6">
        <w:tc>
          <w:tcPr>
            <w:tcW w:w="0" w:type="auto"/>
            <w:hideMark/>
          </w:tcPr>
          <w:p w14:paraId="24FD2D1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Energy</w:t>
            </w:r>
          </w:p>
        </w:tc>
        <w:tc>
          <w:tcPr>
            <w:tcW w:w="0" w:type="auto"/>
            <w:hideMark/>
          </w:tcPr>
          <w:p w14:paraId="1FB76F7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w:t>
            </w:r>
          </w:p>
        </w:tc>
        <w:tc>
          <w:tcPr>
            <w:tcW w:w="0" w:type="auto"/>
            <w:hideMark/>
          </w:tcPr>
          <w:p w14:paraId="5B3C3D9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2,610</w:t>
            </w:r>
          </w:p>
        </w:tc>
        <w:tc>
          <w:tcPr>
            <w:tcW w:w="0" w:type="auto"/>
            <w:hideMark/>
          </w:tcPr>
          <w:p w14:paraId="3112978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48.54%</w:t>
            </w:r>
          </w:p>
        </w:tc>
        <w:tc>
          <w:tcPr>
            <w:tcW w:w="0" w:type="auto"/>
            <w:hideMark/>
          </w:tcPr>
          <w:p w14:paraId="314BE43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0.4983</w:t>
            </w:r>
          </w:p>
        </w:tc>
      </w:tr>
      <w:tr w:rsidR="00043AF0" w:rsidRPr="00043AF0" w14:paraId="27EAB07D" w14:textId="77777777" w:rsidTr="00DB55D6">
        <w:tc>
          <w:tcPr>
            <w:tcW w:w="0" w:type="auto"/>
            <w:hideMark/>
          </w:tcPr>
          <w:p w14:paraId="4B43386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Automobile</w:t>
            </w:r>
          </w:p>
        </w:tc>
        <w:tc>
          <w:tcPr>
            <w:tcW w:w="0" w:type="auto"/>
            <w:hideMark/>
          </w:tcPr>
          <w:p w14:paraId="6CD69B6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5</w:t>
            </w:r>
          </w:p>
        </w:tc>
        <w:tc>
          <w:tcPr>
            <w:tcW w:w="0" w:type="auto"/>
            <w:hideMark/>
          </w:tcPr>
          <w:p w14:paraId="0013D6A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4,350</w:t>
            </w:r>
          </w:p>
        </w:tc>
        <w:tc>
          <w:tcPr>
            <w:tcW w:w="0" w:type="auto"/>
            <w:hideMark/>
          </w:tcPr>
          <w:p w14:paraId="141E3BE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48.34%</w:t>
            </w:r>
          </w:p>
        </w:tc>
        <w:tc>
          <w:tcPr>
            <w:tcW w:w="0" w:type="auto"/>
            <w:hideMark/>
          </w:tcPr>
          <w:p w14:paraId="66ECDD1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0.5126</w:t>
            </w:r>
          </w:p>
        </w:tc>
      </w:tr>
      <w:tr w:rsidR="00043AF0" w:rsidRPr="00043AF0" w14:paraId="541B11A9" w14:textId="77777777" w:rsidTr="00DB55D6">
        <w:tc>
          <w:tcPr>
            <w:tcW w:w="0" w:type="auto"/>
            <w:hideMark/>
          </w:tcPr>
          <w:p w14:paraId="718179B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Telecom</w:t>
            </w:r>
          </w:p>
        </w:tc>
        <w:tc>
          <w:tcPr>
            <w:tcW w:w="0" w:type="auto"/>
            <w:hideMark/>
          </w:tcPr>
          <w:p w14:paraId="0F270DD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w:t>
            </w:r>
          </w:p>
        </w:tc>
        <w:tc>
          <w:tcPr>
            <w:tcW w:w="0" w:type="auto"/>
            <w:hideMark/>
          </w:tcPr>
          <w:p w14:paraId="684AB8F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870</w:t>
            </w:r>
          </w:p>
        </w:tc>
        <w:tc>
          <w:tcPr>
            <w:tcW w:w="0" w:type="auto"/>
            <w:hideMark/>
          </w:tcPr>
          <w:p w14:paraId="15A696A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47.70%</w:t>
            </w:r>
          </w:p>
        </w:tc>
        <w:tc>
          <w:tcPr>
            <w:tcW w:w="0" w:type="auto"/>
            <w:hideMark/>
          </w:tcPr>
          <w:p w14:paraId="32ED492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0.5078</w:t>
            </w:r>
          </w:p>
        </w:tc>
      </w:tr>
      <w:tr w:rsidR="00043AF0" w:rsidRPr="00043AF0" w14:paraId="34F96ABE" w14:textId="77777777" w:rsidTr="00DB55D6">
        <w:tc>
          <w:tcPr>
            <w:tcW w:w="0" w:type="auto"/>
            <w:hideMark/>
          </w:tcPr>
          <w:p w14:paraId="2D8173B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Pharma</w:t>
            </w:r>
          </w:p>
        </w:tc>
        <w:tc>
          <w:tcPr>
            <w:tcW w:w="0" w:type="auto"/>
            <w:hideMark/>
          </w:tcPr>
          <w:p w14:paraId="5A40D57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w:t>
            </w:r>
          </w:p>
        </w:tc>
        <w:tc>
          <w:tcPr>
            <w:tcW w:w="0" w:type="auto"/>
            <w:hideMark/>
          </w:tcPr>
          <w:p w14:paraId="044B54D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3,480</w:t>
            </w:r>
          </w:p>
        </w:tc>
        <w:tc>
          <w:tcPr>
            <w:tcW w:w="0" w:type="auto"/>
            <w:hideMark/>
          </w:tcPr>
          <w:p w14:paraId="590163B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46.81%</w:t>
            </w:r>
          </w:p>
        </w:tc>
        <w:tc>
          <w:tcPr>
            <w:tcW w:w="0" w:type="auto"/>
            <w:hideMark/>
          </w:tcPr>
          <w:p w14:paraId="255B272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0.5236</w:t>
            </w:r>
          </w:p>
        </w:tc>
      </w:tr>
      <w:tr w:rsidR="00043AF0" w:rsidRPr="00043AF0" w14:paraId="017EFBCA" w14:textId="77777777" w:rsidTr="00DB55D6">
        <w:tc>
          <w:tcPr>
            <w:tcW w:w="0" w:type="auto"/>
            <w:hideMark/>
          </w:tcPr>
          <w:p w14:paraId="5F80CC9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Power</w:t>
            </w:r>
          </w:p>
        </w:tc>
        <w:tc>
          <w:tcPr>
            <w:tcW w:w="0" w:type="auto"/>
            <w:hideMark/>
          </w:tcPr>
          <w:p w14:paraId="6B36C22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w:t>
            </w:r>
          </w:p>
        </w:tc>
        <w:tc>
          <w:tcPr>
            <w:tcW w:w="0" w:type="auto"/>
            <w:hideMark/>
          </w:tcPr>
          <w:p w14:paraId="2EC4576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1,740</w:t>
            </w:r>
          </w:p>
        </w:tc>
        <w:tc>
          <w:tcPr>
            <w:tcW w:w="0" w:type="auto"/>
            <w:hideMark/>
          </w:tcPr>
          <w:p w14:paraId="3D5A95B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46.90%</w:t>
            </w:r>
          </w:p>
        </w:tc>
        <w:tc>
          <w:tcPr>
            <w:tcW w:w="0" w:type="auto"/>
            <w:hideMark/>
          </w:tcPr>
          <w:p w14:paraId="572D576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0.5052</w:t>
            </w:r>
          </w:p>
        </w:tc>
      </w:tr>
      <w:tr w:rsidR="00043AF0" w:rsidRPr="00043AF0" w14:paraId="0F9F329F" w14:textId="77777777" w:rsidTr="00DB55D6">
        <w:tc>
          <w:tcPr>
            <w:tcW w:w="0" w:type="auto"/>
            <w:hideMark/>
          </w:tcPr>
          <w:p w14:paraId="7F8E210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Infrastructure</w:t>
            </w:r>
          </w:p>
        </w:tc>
        <w:tc>
          <w:tcPr>
            <w:tcW w:w="0" w:type="auto"/>
            <w:hideMark/>
          </w:tcPr>
          <w:p w14:paraId="0A96605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w:t>
            </w:r>
          </w:p>
        </w:tc>
        <w:tc>
          <w:tcPr>
            <w:tcW w:w="0" w:type="auto"/>
            <w:hideMark/>
          </w:tcPr>
          <w:p w14:paraId="45FBAC2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2,610</w:t>
            </w:r>
          </w:p>
        </w:tc>
        <w:tc>
          <w:tcPr>
            <w:tcW w:w="0" w:type="auto"/>
            <w:hideMark/>
          </w:tcPr>
          <w:p w14:paraId="6308EC6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45.29%</w:t>
            </w:r>
          </w:p>
        </w:tc>
        <w:tc>
          <w:tcPr>
            <w:tcW w:w="0" w:type="auto"/>
            <w:hideMark/>
          </w:tcPr>
          <w:p w14:paraId="6861EBC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0.4736</w:t>
            </w:r>
          </w:p>
        </w:tc>
      </w:tr>
      <w:tr w:rsidR="00043AF0" w:rsidRPr="00043AF0" w14:paraId="2DF03723" w14:textId="77777777" w:rsidTr="00DB55D6">
        <w:tc>
          <w:tcPr>
            <w:tcW w:w="0" w:type="auto"/>
            <w:hideMark/>
          </w:tcPr>
          <w:p w14:paraId="6965C4D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Metals</w:t>
            </w:r>
          </w:p>
        </w:tc>
        <w:tc>
          <w:tcPr>
            <w:tcW w:w="0" w:type="auto"/>
            <w:hideMark/>
          </w:tcPr>
          <w:p w14:paraId="003E60F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w:t>
            </w:r>
          </w:p>
        </w:tc>
        <w:tc>
          <w:tcPr>
            <w:tcW w:w="0" w:type="auto"/>
            <w:hideMark/>
          </w:tcPr>
          <w:p w14:paraId="741A1E1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3,480</w:t>
            </w:r>
          </w:p>
        </w:tc>
        <w:tc>
          <w:tcPr>
            <w:tcW w:w="0" w:type="auto"/>
            <w:hideMark/>
          </w:tcPr>
          <w:p w14:paraId="29026EE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43.48%</w:t>
            </w:r>
          </w:p>
        </w:tc>
        <w:tc>
          <w:tcPr>
            <w:tcW w:w="0" w:type="auto"/>
            <w:hideMark/>
          </w:tcPr>
          <w:p w14:paraId="5D66058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0.4906</w:t>
            </w:r>
          </w:p>
        </w:tc>
      </w:tr>
    </w:tbl>
    <w:p w14:paraId="737FFAAD" w14:textId="0E291235" w:rsidR="00043AF0" w:rsidRPr="00043AF0" w:rsidRDefault="00043AF0" w:rsidP="00043AF0">
      <w:pPr>
        <w:jc w:val="both"/>
        <w:rPr>
          <w:rFonts w:ascii="Times New Roman" w:hAnsi="Times New Roman" w:cs="Times New Roman"/>
          <w:sz w:val="20"/>
          <w:szCs w:val="20"/>
        </w:rPr>
      </w:pPr>
    </w:p>
    <w:p w14:paraId="0FC0AB32" w14:textId="404C0C7F"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Significant sector heterogeneity is evident. IT sector achieves </w:t>
      </w:r>
      <w:proofErr w:type="gramStart"/>
      <w:r w:rsidRPr="00043AF0">
        <w:rPr>
          <w:rFonts w:ascii="Times New Roman" w:hAnsi="Times New Roman" w:cs="Times New Roman"/>
          <w:sz w:val="20"/>
          <w:szCs w:val="20"/>
        </w:rPr>
        <w:t>56.72% win</w:t>
      </w:r>
      <w:proofErr w:type="gramEnd"/>
      <w:r w:rsidRPr="00043AF0">
        <w:rPr>
          <w:rFonts w:ascii="Times New Roman" w:hAnsi="Times New Roman" w:cs="Times New Roman"/>
          <w:sz w:val="20"/>
          <w:szCs w:val="20"/>
        </w:rPr>
        <w:t xml:space="preserve"> rate across 5,220 predictions, substantially above the overall average (50.77%). This superior performance may reflect the trending behavior of technology stocks during the test period (2022-2025), which includes the AI boom and digital transformation trends.</w:t>
      </w:r>
    </w:p>
    <w:p w14:paraId="6D7469D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Healthcare shows the highest win rate (68.05%) but represents only a single stock (870 predictions), making this result less reliable due to limited sample size. The strong performance could reflect company-specific factors rather than generalizable sector patterns.</w:t>
      </w:r>
    </w:p>
    <w:p w14:paraId="260C49C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lastRenderedPageBreak/>
        <w:t>Metals sector exhibits the weakest performance (43.48%), performing below random baseline. This may be attributed to cyclical and commodity-price-driven dynamics that are poorly captured by technical indicators alone. Metals stocks are heavily influenced by global commodity prices, which depend on macroeconomic factors not represented in our technical feature set.</w:t>
      </w:r>
    </w:p>
    <w:p w14:paraId="4077ED0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The Financials sector, comprising the largest number of stocks (10) and predictions (8,700), achieves </w:t>
      </w:r>
      <w:proofErr w:type="gramStart"/>
      <w:r w:rsidRPr="00043AF0">
        <w:rPr>
          <w:rFonts w:ascii="Times New Roman" w:hAnsi="Times New Roman" w:cs="Times New Roman"/>
          <w:sz w:val="20"/>
          <w:szCs w:val="20"/>
        </w:rPr>
        <w:t>51.69% win</w:t>
      </w:r>
      <w:proofErr w:type="gramEnd"/>
      <w:r w:rsidRPr="00043AF0">
        <w:rPr>
          <w:rFonts w:ascii="Times New Roman" w:hAnsi="Times New Roman" w:cs="Times New Roman"/>
          <w:sz w:val="20"/>
          <w:szCs w:val="20"/>
        </w:rPr>
        <w:t xml:space="preserve"> rate, providing robust evidence of slight predictive ability given the large sample size.</w:t>
      </w:r>
    </w:p>
    <w:p w14:paraId="53CDF2A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Sectors with win rates near 50% (Energy at 48.54%, Automobile at 48.34%, Telecom at 47.70%) suggest that technical indicators provide minimal edge for these market segments. This could indicate that these sectors are driven more by news events, policy changes, or fundamental factors than by technical patterns.</w:t>
      </w:r>
    </w:p>
    <w:p w14:paraId="1EE3A05B"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D. Prediction Distribution Analysis</w:t>
      </w:r>
    </w:p>
    <w:p w14:paraId="1D8B7DCE" w14:textId="6ED628AA"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Analysis of predicted probabilities provides insights into model calibration and confidence.</w:t>
      </w:r>
    </w:p>
    <w:p w14:paraId="0B660AE6" w14:textId="63AB96F6"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TABLE VIII: PREDICTION DISTRIBUTION STATISTICS</w:t>
      </w:r>
    </w:p>
    <w:tbl>
      <w:tblPr>
        <w:tblStyle w:val="TableGrid"/>
        <w:tblW w:w="0" w:type="auto"/>
        <w:tblLook w:val="04A0" w:firstRow="1" w:lastRow="0" w:firstColumn="1" w:lastColumn="0" w:noHBand="0" w:noVBand="1"/>
      </w:tblPr>
      <w:tblGrid>
        <w:gridCol w:w="1826"/>
        <w:gridCol w:w="1098"/>
        <w:gridCol w:w="2099"/>
      </w:tblGrid>
      <w:tr w:rsidR="00043AF0" w:rsidRPr="00043AF0" w14:paraId="6B62A7C2" w14:textId="77777777" w:rsidTr="00DB55D6">
        <w:tc>
          <w:tcPr>
            <w:tcW w:w="0" w:type="auto"/>
            <w:hideMark/>
          </w:tcPr>
          <w:p w14:paraId="64BCE2D5"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Metric</w:t>
            </w:r>
          </w:p>
        </w:tc>
        <w:tc>
          <w:tcPr>
            <w:tcW w:w="0" w:type="auto"/>
            <w:hideMark/>
          </w:tcPr>
          <w:p w14:paraId="3D56F7F2"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Value</w:t>
            </w:r>
          </w:p>
        </w:tc>
        <w:tc>
          <w:tcPr>
            <w:tcW w:w="0" w:type="auto"/>
            <w:hideMark/>
          </w:tcPr>
          <w:p w14:paraId="4C72CE56"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Interpretation</w:t>
            </w:r>
          </w:p>
        </w:tc>
      </w:tr>
      <w:tr w:rsidR="00043AF0" w:rsidRPr="00043AF0" w14:paraId="5C10DB9D" w14:textId="77777777" w:rsidTr="00DB55D6">
        <w:tc>
          <w:tcPr>
            <w:tcW w:w="0" w:type="auto"/>
            <w:hideMark/>
          </w:tcPr>
          <w:p w14:paraId="42CABA9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Mean Prob(UP)</w:t>
            </w:r>
          </w:p>
        </w:tc>
        <w:tc>
          <w:tcPr>
            <w:tcW w:w="0" w:type="auto"/>
            <w:hideMark/>
          </w:tcPr>
          <w:p w14:paraId="7665B35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0.508</w:t>
            </w:r>
          </w:p>
        </w:tc>
        <w:tc>
          <w:tcPr>
            <w:tcW w:w="0" w:type="auto"/>
            <w:hideMark/>
          </w:tcPr>
          <w:p w14:paraId="369DBAB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Nearly balanced predictions</w:t>
            </w:r>
          </w:p>
        </w:tc>
      </w:tr>
      <w:tr w:rsidR="00043AF0" w:rsidRPr="00043AF0" w14:paraId="1802EBE2" w14:textId="77777777" w:rsidTr="00DB55D6">
        <w:tc>
          <w:tcPr>
            <w:tcW w:w="0" w:type="auto"/>
            <w:hideMark/>
          </w:tcPr>
          <w:p w14:paraId="0DC60DC6" w14:textId="01682E3A"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Median </w:t>
            </w:r>
            <w:proofErr w:type="gramStart"/>
            <w:r w:rsidRPr="00043AF0">
              <w:rPr>
                <w:rFonts w:ascii="Times New Roman" w:hAnsi="Times New Roman" w:cs="Times New Roman"/>
                <w:sz w:val="20"/>
                <w:szCs w:val="20"/>
              </w:rPr>
              <w:t>Prob(</w:t>
            </w:r>
            <w:proofErr w:type="gramEnd"/>
            <w:r w:rsidRPr="00043AF0">
              <w:rPr>
                <w:rFonts w:ascii="Times New Roman" w:hAnsi="Times New Roman" w:cs="Times New Roman"/>
                <w:sz w:val="20"/>
                <w:szCs w:val="20"/>
              </w:rPr>
              <w:t>UP)</w:t>
            </w:r>
          </w:p>
        </w:tc>
        <w:tc>
          <w:tcPr>
            <w:tcW w:w="0" w:type="auto"/>
            <w:hideMark/>
          </w:tcPr>
          <w:p w14:paraId="020B227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0.497</w:t>
            </w:r>
          </w:p>
        </w:tc>
        <w:tc>
          <w:tcPr>
            <w:tcW w:w="0" w:type="auto"/>
            <w:hideMark/>
          </w:tcPr>
          <w:p w14:paraId="00354E2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Slight downward skew</w:t>
            </w:r>
          </w:p>
        </w:tc>
      </w:tr>
      <w:tr w:rsidR="00043AF0" w:rsidRPr="00043AF0" w14:paraId="4BA2230E" w14:textId="77777777" w:rsidTr="00DB55D6">
        <w:tc>
          <w:tcPr>
            <w:tcW w:w="0" w:type="auto"/>
            <w:hideMark/>
          </w:tcPr>
          <w:p w14:paraId="432007C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High Confidence Bullish (&gt;60%)</w:t>
            </w:r>
          </w:p>
        </w:tc>
        <w:tc>
          <w:tcPr>
            <w:tcW w:w="0" w:type="auto"/>
            <w:hideMark/>
          </w:tcPr>
          <w:p w14:paraId="3ED810B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3,834 (9.0%)</w:t>
            </w:r>
          </w:p>
        </w:tc>
        <w:tc>
          <w:tcPr>
            <w:tcW w:w="0" w:type="auto"/>
            <w:hideMark/>
          </w:tcPr>
          <w:p w14:paraId="02066D77" w14:textId="697753F4"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Conservative with bullish calls</w:t>
            </w:r>
          </w:p>
        </w:tc>
      </w:tr>
      <w:tr w:rsidR="00043AF0" w:rsidRPr="00043AF0" w14:paraId="5A21C78B" w14:textId="77777777" w:rsidTr="00DB55D6">
        <w:tc>
          <w:tcPr>
            <w:tcW w:w="0" w:type="auto"/>
            <w:hideMark/>
          </w:tcPr>
          <w:p w14:paraId="2627AC1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High Confidence Bearish (&lt;40%)</w:t>
            </w:r>
          </w:p>
        </w:tc>
        <w:tc>
          <w:tcPr>
            <w:tcW w:w="0" w:type="auto"/>
            <w:hideMark/>
          </w:tcPr>
          <w:p w14:paraId="5B022E0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953 (2.2%)</w:t>
            </w:r>
          </w:p>
        </w:tc>
        <w:tc>
          <w:tcPr>
            <w:tcW w:w="0" w:type="auto"/>
            <w:hideMark/>
          </w:tcPr>
          <w:p w14:paraId="7DAC681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Very conservative with bearish calls</w:t>
            </w:r>
          </w:p>
        </w:tc>
      </w:tr>
      <w:tr w:rsidR="00043AF0" w:rsidRPr="00043AF0" w14:paraId="3ECA4709" w14:textId="77777777" w:rsidTr="00DB55D6">
        <w:tc>
          <w:tcPr>
            <w:tcW w:w="0" w:type="auto"/>
            <w:hideMark/>
          </w:tcPr>
          <w:p w14:paraId="5CF0F82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Uncertain (40-60%)</w:t>
            </w:r>
          </w:p>
        </w:tc>
        <w:tc>
          <w:tcPr>
            <w:tcW w:w="0" w:type="auto"/>
            <w:hideMark/>
          </w:tcPr>
          <w:p w14:paraId="236C2BF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37,843 (88.8%)</w:t>
            </w:r>
          </w:p>
        </w:tc>
        <w:tc>
          <w:tcPr>
            <w:tcW w:w="0" w:type="auto"/>
            <w:hideMark/>
          </w:tcPr>
          <w:p w14:paraId="07E0312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Majority low-confidence predictions</w:t>
            </w:r>
          </w:p>
        </w:tc>
      </w:tr>
    </w:tbl>
    <w:p w14:paraId="71140201"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model produces predominantly uncertain predictions (88.8% in the 40-60% probability range), indicating appropriate calibration. Unlike overconfident models that produce extreme probabilities (near 0 or 1), this distribution reflects the genuine difficulty of stock prediction.</w:t>
      </w:r>
    </w:p>
    <w:p w14:paraId="279DC31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imbalance between high-confidence bullish (9.0%) and high-confidence bearish (2.2%) predictions aligns with the class distribution (65.3% UP in test set). The model learns that upward movements are more common and accordingly produces more confident bullish predictions.</w:t>
      </w:r>
    </w:p>
    <w:p w14:paraId="16B11C6F" w14:textId="5A32F5E0"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This conservative probability distribution is desirable for risk management. In a trading application, operators could filter for high-confidence predictions (&gt;60%) to reduce position count </w:t>
      </w:r>
      <w:r w:rsidRPr="00043AF0">
        <w:rPr>
          <w:rFonts w:ascii="Times New Roman" w:hAnsi="Times New Roman" w:cs="Times New Roman"/>
          <w:sz w:val="20"/>
          <w:szCs w:val="20"/>
        </w:rPr>
        <w:t>while potentially improving win rate, though this would decrease recall.</w:t>
      </w:r>
    </w:p>
    <w:p w14:paraId="239C9A87" w14:textId="77777777" w:rsidR="00043AF0" w:rsidRPr="00C8361E" w:rsidRDefault="00043AF0" w:rsidP="00C8361E">
      <w:pPr>
        <w:jc w:val="center"/>
        <w:rPr>
          <w:rFonts w:ascii="Times New Roman" w:hAnsi="Times New Roman" w:cs="Times New Roman"/>
          <w:sz w:val="20"/>
          <w:szCs w:val="20"/>
        </w:rPr>
      </w:pPr>
      <w:r w:rsidRPr="00C8361E">
        <w:rPr>
          <w:rFonts w:ascii="Times New Roman" w:hAnsi="Times New Roman" w:cs="Times New Roman"/>
          <w:sz w:val="20"/>
          <w:szCs w:val="20"/>
        </w:rPr>
        <w:t>VI. DISCUSSION</w:t>
      </w:r>
    </w:p>
    <w:p w14:paraId="49E0FC77"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 Interpretation of Results</w:t>
      </w:r>
    </w:p>
    <w:p w14:paraId="57424FC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achieved ROC-AUC of 0.5254 represents modest but statistically significant predictive ability. Contextualizing this performance requires comparison with academic literature and industry benchmarks.</w:t>
      </w:r>
    </w:p>
    <w:p w14:paraId="25FA4F8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Academic studies on stock prediction with technical indicators typically report ROC-AUC values ranging from 0.50 to 0.60, with the lower end representing weak signals and the upper end reflecting strong predictive models often using multi-modal features [2][5]. Professional quantitative hedge funds reportedly achieve ROC-AUC of 0.55-0.65 through sophisticated feature engineering, ensemble methods, and fundamental integration [12]. This paper's result of 0.525 falls within the expected range for technical-indicator-only approaches, validating that the methodology is sound but confirming inherent limitations of purely technical analysis.</w:t>
      </w:r>
    </w:p>
    <w:p w14:paraId="0EC961D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2.5 percentage point improvement over random baseline is statistically significant (p &lt; 0.001, not shown) given the large test sample size (42,630 predictions). However, practical significance depends on implementation context. In a trading environment with transaction costs of 0.1-0.3% per trade, a 2.5% edge may be insufficient for profitable systematic trading without additional alpha sources. The research value lies in demonstrating that machine learning can extract weak but consistent signals from technical patterns.</w:t>
      </w:r>
    </w:p>
    <w:p w14:paraId="5EBAEAEA" w14:textId="218382CF"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Comparison against simple baselines is particularly informative. The momentum strategy (predict UP if return_20d &gt; 0) achieves ROC-AUC of 0.473, below random baseline. This counter-intuitive result suggests that 20-day momentum exhibits slight mean reversion over the subsequent 60 days in Nifty 50 stocks, contrary to short-term momentum continuation documented in some Western markets. The Random Forest's superior performance (0.525 vs 0.473) demonstrates value in learning complex, non-linear feature interactions rather than simple univariate rules.</w:t>
      </w:r>
    </w:p>
    <w:p w14:paraId="43D2F83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The outperformance versus logistic regression (0.525 vs 0.485) quantifies the benefit of non-linearity. Logistic regression assumes additive, linear relationships between features and log-odds of the target. Random Forest captures interactions (e.g., "high volatility + price above MA-200" may have different implications than either condition alone) and non-monotonic </w:t>
      </w:r>
      <w:r w:rsidRPr="00043AF0">
        <w:rPr>
          <w:rFonts w:ascii="Times New Roman" w:hAnsi="Times New Roman" w:cs="Times New Roman"/>
          <w:sz w:val="20"/>
          <w:szCs w:val="20"/>
        </w:rPr>
        <w:lastRenderedPageBreak/>
        <w:t>relationships, which appear to be present in stock price dynamics.</w:t>
      </w:r>
    </w:p>
    <w:p w14:paraId="0F89FEDA"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B. Feature Importance Insights</w:t>
      </w:r>
    </w:p>
    <w:p w14:paraId="3C0297A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dominance of moving average features (48.1% combined importance) provides empirical support for trend-following as the primary technical signal. This aligns with classical technical analysis theory [11] and validates the use of MA-based strategies in quantitative trading.</w:t>
      </w:r>
    </w:p>
    <w:p w14:paraId="4A8002A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prominence of ma_200 (19.05%) specifically has practical implications. The 200-day moving average is widely monitored by traders and institutions as a long-term trend indicator. When many market participants make decisions based on the same indicator, it can become self-fulfilling—creating actual support/resistance at the MA-200 level. This reflexive dynamic may explain why MA-200 is particularly predictive.</w:t>
      </w:r>
    </w:p>
    <w:p w14:paraId="2BF2DAF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Volatility features ranking 4th and 6th (13.98% and 7.86%) suggest that risk regime changes provide valuable signals. Periods of high volatility may precede trend reversals or indicate uncertainty that affects subsequent price movements. The distinction between 20-day and 60-day volatility allows the model to differentiate between temporary volatility spikes and sustained regime shifts.</w:t>
      </w:r>
    </w:p>
    <w:p w14:paraId="1EC64FA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weak importance of momentum indicators (return_20d at 3.71%, rsi_14 at 2.91%) for 60-day prediction suggests that short-term price movements are noisy and less informative about medium-term direction. This finding contrasts with studies on shorter prediction horizons (1-10 days) where momentum often shows stronger signals [8]. It appears that momentum effects dissipate over the 60-day timeframe, with trend becoming the dominant factor.</w:t>
      </w:r>
    </w:p>
    <w:p w14:paraId="38EB90EA"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C. Sector Heterogeneity</w:t>
      </w:r>
    </w:p>
    <w:p w14:paraId="40233E8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wide variation in sector-level performance (43.48% to 68.05% win rates) indicates that technical analysis effectiveness is sector-dependent. This heterogeneity suggests that a one-size-fits-all model may be suboptimal, and sector-specific models or adaptive weighting could improve performance.</w:t>
      </w:r>
    </w:p>
    <w:p w14:paraId="2322422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strong performance in IT sector (56.72%) may reflect several factors. Technology stocks often exhibit stronger trending behavior due to growth narratives and institutional momentum. Additionally, the IT sector in India has benefited from structural tailwinds (outsourcing, digital transformation) during the test period, creating persistent uptrends that technical indicators capture well.</w:t>
      </w:r>
    </w:p>
    <w:p w14:paraId="74513AE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Conversely, the weak performance in Metals (43.48%) and Infrastructure (45.29%) may reflect these sectors' sensitivity to cyclical factors and commodity prices that are not captured by stock-specific technical indicators. Global iron ore prices, construction activity, and government spending—key drivers of these sectors—require macroeconomic and fundamental analysis beyond the scope of technical indicators.</w:t>
      </w:r>
    </w:p>
    <w:p w14:paraId="6B4D43C6"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poor performance in certain sectors does not invalidate the overall approach but rather highlights where augmentation with fundamental or macroeconomic features would be beneficial. A hybrid model combining technical, fundamental, and sector-specific features could address this heterogeneity.</w:t>
      </w:r>
    </w:p>
    <w:p w14:paraId="0E2DE204"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D. Limitations</w:t>
      </w:r>
    </w:p>
    <w:p w14:paraId="11447A43"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Several limitations constrain the interpretation and generalizability of results:</w:t>
      </w:r>
    </w:p>
    <w:p w14:paraId="0B1328C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1. Feature Scope</w:t>
      </w:r>
      <w:r w:rsidRPr="00043AF0">
        <w:rPr>
          <w:rFonts w:ascii="Times New Roman" w:hAnsi="Times New Roman" w:cs="Times New Roman"/>
          <w:sz w:val="20"/>
          <w:szCs w:val="20"/>
        </w:rPr>
        <w:t>: The model uses exclusively technical indicators derived from price and volume. Fundamental factors (earnings, P/E ratios, balance sheet metrics), news sentiment, macroeconomic indicators (interest rates, GDP, inflation), and alternative data are excluded. These omissions limit predictive power, particularly for sectors driven by fundamentals or news events.</w:t>
      </w:r>
    </w:p>
    <w:p w14:paraId="790FCB8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2. Prediction Horizon</w:t>
      </w:r>
      <w:r w:rsidRPr="00043AF0">
        <w:rPr>
          <w:rFonts w:ascii="Times New Roman" w:hAnsi="Times New Roman" w:cs="Times New Roman"/>
          <w:sz w:val="20"/>
          <w:szCs w:val="20"/>
        </w:rPr>
        <w:t>: The 60-day horizon balances short-term noise and long-term uncertainty but represents an arbitrary choice. Optimal horizons may vary by stock, sector, or market regime. Shorter horizons (5-20 days) might yield different performance profiles.</w:t>
      </w:r>
    </w:p>
    <w:p w14:paraId="6E00028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3. Single Model Approach</w:t>
      </w:r>
      <w:r w:rsidRPr="00043AF0">
        <w:rPr>
          <w:rFonts w:ascii="Times New Roman" w:hAnsi="Times New Roman" w:cs="Times New Roman"/>
          <w:sz w:val="20"/>
          <w:szCs w:val="20"/>
        </w:rPr>
        <w:t xml:space="preserve">: Only Random Forest is employed. Ensemble methods combining multiple algorithms (Random Forest + </w:t>
      </w:r>
      <w:proofErr w:type="spellStart"/>
      <w:r w:rsidRPr="00043AF0">
        <w:rPr>
          <w:rFonts w:ascii="Times New Roman" w:hAnsi="Times New Roman" w:cs="Times New Roman"/>
          <w:sz w:val="20"/>
          <w:szCs w:val="20"/>
        </w:rPr>
        <w:t>XGBoost</w:t>
      </w:r>
      <w:proofErr w:type="spellEnd"/>
      <w:r w:rsidRPr="00043AF0">
        <w:rPr>
          <w:rFonts w:ascii="Times New Roman" w:hAnsi="Times New Roman" w:cs="Times New Roman"/>
          <w:sz w:val="20"/>
          <w:szCs w:val="20"/>
        </w:rPr>
        <w:t xml:space="preserve"> + </w:t>
      </w:r>
      <w:proofErr w:type="spellStart"/>
      <w:r w:rsidRPr="00043AF0">
        <w:rPr>
          <w:rFonts w:ascii="Times New Roman" w:hAnsi="Times New Roman" w:cs="Times New Roman"/>
          <w:sz w:val="20"/>
          <w:szCs w:val="20"/>
        </w:rPr>
        <w:t>LightGBM</w:t>
      </w:r>
      <w:proofErr w:type="spellEnd"/>
      <w:r w:rsidRPr="00043AF0">
        <w:rPr>
          <w:rFonts w:ascii="Times New Roman" w:hAnsi="Times New Roman" w:cs="Times New Roman"/>
          <w:sz w:val="20"/>
          <w:szCs w:val="20"/>
        </w:rPr>
        <w:t xml:space="preserve"> + neural networks) could improve performance through diversity. Additionally, the model is static—trained once without adaptation to changing market conditions.</w:t>
      </w:r>
    </w:p>
    <w:p w14:paraId="116F265B"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4. Temporal Validation</w:t>
      </w:r>
      <w:r w:rsidRPr="00043AF0">
        <w:rPr>
          <w:rFonts w:ascii="Times New Roman" w:hAnsi="Times New Roman" w:cs="Times New Roman"/>
          <w:sz w:val="20"/>
          <w:szCs w:val="20"/>
        </w:rPr>
        <w:t>: While proper time-based splitting is used, walk-forward validation across multiple time windows would provide stronger evidence of temporal robustness. The current single holdout test may not fully represent performance across different market regimes (bull markets, bear markets, high volatility periods, low volatility periods).</w:t>
      </w:r>
    </w:p>
    <w:p w14:paraId="701F350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5. Survivorship Bias</w:t>
      </w:r>
      <w:r w:rsidRPr="00043AF0">
        <w:rPr>
          <w:rFonts w:ascii="Times New Roman" w:hAnsi="Times New Roman" w:cs="Times New Roman"/>
          <w:sz w:val="20"/>
          <w:szCs w:val="20"/>
        </w:rPr>
        <w:t>: The dataset includes only current Nifty 50 constituents (plus one delisted stock). Stocks that were in the index historically but later removed are excluded. This creates survivorship bias, potentially inflating performance estimates.</w:t>
      </w:r>
    </w:p>
    <w:p w14:paraId="7841D0F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lastRenderedPageBreak/>
        <w:t>6. Market Specificity</w:t>
      </w:r>
      <w:r w:rsidRPr="00043AF0">
        <w:rPr>
          <w:rFonts w:ascii="Times New Roman" w:hAnsi="Times New Roman" w:cs="Times New Roman"/>
          <w:sz w:val="20"/>
          <w:szCs w:val="20"/>
        </w:rPr>
        <w:t>: Results are specific to Indian equities (Nifty 50). Generalization to other markets (US, Europe, emerging markets) or asset classes (currencies, commodities, bonds) is uncertain. Cross-market validation would strengthen claims of generalizability.</w:t>
      </w:r>
    </w:p>
    <w:p w14:paraId="0FFB618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7. Transaction Costs</w:t>
      </w:r>
      <w:r w:rsidRPr="00043AF0">
        <w:rPr>
          <w:rFonts w:ascii="Times New Roman" w:hAnsi="Times New Roman" w:cs="Times New Roman"/>
          <w:sz w:val="20"/>
          <w:szCs w:val="20"/>
        </w:rPr>
        <w:t>: The evaluation assumes costless trading. Real-world implementation incurs brokerage fees (0.1-0.3%), bid-ask spreads, market impact, and taxes. These costs could eliminate the modest edge demonstrated here.</w:t>
      </w:r>
    </w:p>
    <w:p w14:paraId="39D9A6B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8. Risk Management</w:t>
      </w:r>
      <w:r w:rsidRPr="00043AF0">
        <w:rPr>
          <w:rFonts w:ascii="Times New Roman" w:hAnsi="Times New Roman" w:cs="Times New Roman"/>
          <w:sz w:val="20"/>
          <w:szCs w:val="20"/>
        </w:rPr>
        <w:t>: The analysis focuses on directional accuracy without addressing position sizing, stop-losses, portfolio diversification, or leverage. A complete trading system requires risk management beyond prediction accuracy.</w:t>
      </w:r>
    </w:p>
    <w:p w14:paraId="6DDD0A60" w14:textId="7E9F7EB9"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E. Practical Implications</w:t>
      </w:r>
    </w:p>
    <w:p w14:paraId="53E3ED8D" w14:textId="7387A9AD"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Despite limitations, this work offers practical insights for quantitative finance:</w:t>
      </w:r>
    </w:p>
    <w:p w14:paraId="6A1D0A9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For Researchers</w:t>
      </w:r>
      <w:r w:rsidRPr="00043AF0">
        <w:rPr>
          <w:rFonts w:ascii="Times New Roman" w:hAnsi="Times New Roman" w:cs="Times New Roman"/>
          <w:sz w:val="20"/>
          <w:szCs w:val="20"/>
        </w:rPr>
        <w:t>: The study demonstrates the importance of rigorous temporal validation and honest reporting. Many published results showing impressive accuracy (&gt;70%) likely suffer from data leakage or overfitting. Reporting modest but robust performance (52.5% ROC-AUC) with proper methodology is more valuable than inflated metrics from flawed approaches.</w:t>
      </w:r>
    </w:p>
    <w:p w14:paraId="772D4BC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For Practitioners</w:t>
      </w:r>
      <w:r w:rsidRPr="00043AF0">
        <w:rPr>
          <w:rFonts w:ascii="Times New Roman" w:hAnsi="Times New Roman" w:cs="Times New Roman"/>
          <w:sz w:val="20"/>
          <w:szCs w:val="20"/>
        </w:rPr>
        <w:t>: Technical indicators provide slight edge (2-5% above baselines) that could be profitable with proper risk management and cost control. However, relying solely on technical features is insufficient for institutional-grade trading systems. Integration with fundamentals, sentiment, and macroeconomic data is necessary for competitive performance.</w:t>
      </w:r>
    </w:p>
    <w:p w14:paraId="1FC0FF3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For Educators</w:t>
      </w:r>
      <w:r w:rsidRPr="00043AF0">
        <w:rPr>
          <w:rFonts w:ascii="Times New Roman" w:hAnsi="Times New Roman" w:cs="Times New Roman"/>
          <w:sz w:val="20"/>
          <w:szCs w:val="20"/>
        </w:rPr>
        <w:t>: This work serves as a complete example of machine learning pipeline design for finance: problem formulation, feature engineering with domain knowledge, proper temporal validation, comprehensive baseline comparisons, and honest interpretation of results. The methodology is replicable and can be adapted to other forecasting tasks.</w:t>
      </w:r>
    </w:p>
    <w:p w14:paraId="4A0BA670" w14:textId="77777777" w:rsidR="00043AF0" w:rsidRPr="00043AF0" w:rsidRDefault="00000000" w:rsidP="00043AF0">
      <w:pPr>
        <w:jc w:val="both"/>
        <w:rPr>
          <w:rFonts w:ascii="Times New Roman" w:hAnsi="Times New Roman" w:cs="Times New Roman"/>
          <w:sz w:val="20"/>
          <w:szCs w:val="20"/>
        </w:rPr>
      </w:pPr>
      <w:r>
        <w:rPr>
          <w:rFonts w:ascii="Times New Roman" w:hAnsi="Times New Roman" w:cs="Times New Roman"/>
          <w:sz w:val="20"/>
          <w:szCs w:val="20"/>
        </w:rPr>
        <w:pict w14:anchorId="5AEF1104">
          <v:rect id="_x0000_i1028" style="width:0;height:1.5pt" o:hralign="center" o:hrstd="t" o:hr="t" fillcolor="#a0a0a0" stroked="f"/>
        </w:pict>
      </w:r>
    </w:p>
    <w:p w14:paraId="3BFCFF23"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VII. CONCLUSION</w:t>
      </w:r>
    </w:p>
    <w:p w14:paraId="73D4C37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This paper presented a Random Forest-based approach for predicting 60-day stock price direction on Indian Nifty 50 stocks using 14 technical indicators derived from OHLCV data. Rigorous temporal validation on 42,630 test predictions demonstrated ROC-AUC of 0.5254, representing modest but </w:t>
      </w:r>
      <w:r w:rsidRPr="00043AF0">
        <w:rPr>
          <w:rFonts w:ascii="Times New Roman" w:hAnsi="Times New Roman" w:cs="Times New Roman"/>
          <w:sz w:val="20"/>
          <w:szCs w:val="20"/>
        </w:rPr>
        <w:t>statistically significant improvement over random baseline (0.50) and simple momentum strategies (0.473).</w:t>
      </w:r>
    </w:p>
    <w:p w14:paraId="445CBA8D"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Feature importance analysis revealed that moving averages contribute 48% of total importance, confirming trend-following as the dominant signal in technical analysis. The prominence of ma_200 (19.05%) and other long-term trend indicators suggests that medium-term (60-day) price movements are more strongly influenced by persistent trends than by short-term momentum.</w:t>
      </w:r>
    </w:p>
    <w:p w14:paraId="346D7DC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Sector-level analysis exposed significant heterogeneity, with IT stocks achieving 56.72% accuracy while Metals sector showed 43.48%, highlighting the varying effectiveness of technical analysis across market segments. This heterogeneity suggests opportunities for sector-adaptive modeling or augmentation with sector-specific features.</w:t>
      </w:r>
    </w:p>
    <w:p w14:paraId="677F0ADD" w14:textId="476D17B4"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results confirm that technical indicators provide weak but consistent predictive signals while underscoring limitations of purely technical approaches. The modest performance (2.5% above random) is realistic given the Efficient Market Hypothesis and aligns with academic literature on technical analysis. For practical trading applications, integration with fundamental, sentiment, and macroeconomic data would be necessary to achieve competitive performance.</w:t>
      </w:r>
    </w:p>
    <w:p w14:paraId="0FD0BCBF"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Key Contributions</w:t>
      </w:r>
      <w:r w:rsidRPr="00043AF0">
        <w:rPr>
          <w:rFonts w:ascii="Times New Roman" w:hAnsi="Times New Roman" w:cs="Times New Roman"/>
          <w:sz w:val="20"/>
          <w:szCs w:val="20"/>
        </w:rPr>
        <w:t>:</w:t>
      </w:r>
    </w:p>
    <w:p w14:paraId="55E5938C" w14:textId="77777777" w:rsidR="00043AF0" w:rsidRPr="00043AF0" w:rsidRDefault="00043AF0" w:rsidP="00043AF0">
      <w:pPr>
        <w:numPr>
          <w:ilvl w:val="0"/>
          <w:numId w:val="9"/>
        </w:numPr>
        <w:jc w:val="both"/>
        <w:rPr>
          <w:rFonts w:ascii="Times New Roman" w:hAnsi="Times New Roman" w:cs="Times New Roman"/>
          <w:sz w:val="20"/>
          <w:szCs w:val="20"/>
        </w:rPr>
      </w:pPr>
      <w:r w:rsidRPr="00043AF0">
        <w:rPr>
          <w:rFonts w:ascii="Times New Roman" w:hAnsi="Times New Roman" w:cs="Times New Roman"/>
          <w:sz w:val="20"/>
          <w:szCs w:val="20"/>
        </w:rPr>
        <w:t>Rigorous temporal validation methodology preventing data leakage</w:t>
      </w:r>
    </w:p>
    <w:p w14:paraId="635A497C" w14:textId="77777777" w:rsidR="00043AF0" w:rsidRPr="00043AF0" w:rsidRDefault="00043AF0" w:rsidP="00043AF0">
      <w:pPr>
        <w:numPr>
          <w:ilvl w:val="0"/>
          <w:numId w:val="9"/>
        </w:numPr>
        <w:jc w:val="both"/>
        <w:rPr>
          <w:rFonts w:ascii="Times New Roman" w:hAnsi="Times New Roman" w:cs="Times New Roman"/>
          <w:sz w:val="20"/>
          <w:szCs w:val="20"/>
        </w:rPr>
      </w:pPr>
      <w:r w:rsidRPr="00043AF0">
        <w:rPr>
          <w:rFonts w:ascii="Times New Roman" w:hAnsi="Times New Roman" w:cs="Times New Roman"/>
          <w:sz w:val="20"/>
          <w:szCs w:val="20"/>
        </w:rPr>
        <w:t>Comprehensive analysis of 49 stocks across 27 years (284,370 observations)</w:t>
      </w:r>
    </w:p>
    <w:p w14:paraId="19C1FBE8" w14:textId="77777777" w:rsidR="00043AF0" w:rsidRPr="00043AF0" w:rsidRDefault="00043AF0" w:rsidP="00043AF0">
      <w:pPr>
        <w:numPr>
          <w:ilvl w:val="0"/>
          <w:numId w:val="9"/>
        </w:numPr>
        <w:jc w:val="both"/>
        <w:rPr>
          <w:rFonts w:ascii="Times New Roman" w:hAnsi="Times New Roman" w:cs="Times New Roman"/>
          <w:sz w:val="20"/>
          <w:szCs w:val="20"/>
        </w:rPr>
      </w:pPr>
      <w:r w:rsidRPr="00043AF0">
        <w:rPr>
          <w:rFonts w:ascii="Times New Roman" w:hAnsi="Times New Roman" w:cs="Times New Roman"/>
          <w:sz w:val="20"/>
          <w:szCs w:val="20"/>
        </w:rPr>
        <w:t>Detailed feature importance quantification revealing dominance of moving averages</w:t>
      </w:r>
    </w:p>
    <w:p w14:paraId="41E9AF4D" w14:textId="77777777" w:rsidR="00043AF0" w:rsidRPr="00043AF0" w:rsidRDefault="00043AF0" w:rsidP="00043AF0">
      <w:pPr>
        <w:numPr>
          <w:ilvl w:val="0"/>
          <w:numId w:val="9"/>
        </w:numPr>
        <w:jc w:val="both"/>
        <w:rPr>
          <w:rFonts w:ascii="Times New Roman" w:hAnsi="Times New Roman" w:cs="Times New Roman"/>
          <w:sz w:val="20"/>
          <w:szCs w:val="20"/>
        </w:rPr>
      </w:pPr>
      <w:r w:rsidRPr="00043AF0">
        <w:rPr>
          <w:rFonts w:ascii="Times New Roman" w:hAnsi="Times New Roman" w:cs="Times New Roman"/>
          <w:sz w:val="20"/>
          <w:szCs w:val="20"/>
        </w:rPr>
        <w:t>Sector-level performance breakdown identifying market segments where prediction is reliable</w:t>
      </w:r>
    </w:p>
    <w:p w14:paraId="3CF6E368" w14:textId="77777777" w:rsidR="00043AF0" w:rsidRPr="00043AF0" w:rsidRDefault="00043AF0" w:rsidP="00043AF0">
      <w:pPr>
        <w:numPr>
          <w:ilvl w:val="0"/>
          <w:numId w:val="9"/>
        </w:numPr>
        <w:jc w:val="both"/>
        <w:rPr>
          <w:rFonts w:ascii="Times New Roman" w:hAnsi="Times New Roman" w:cs="Times New Roman"/>
          <w:sz w:val="20"/>
          <w:szCs w:val="20"/>
        </w:rPr>
      </w:pPr>
      <w:r w:rsidRPr="00043AF0">
        <w:rPr>
          <w:rFonts w:ascii="Times New Roman" w:hAnsi="Times New Roman" w:cs="Times New Roman"/>
          <w:sz w:val="20"/>
          <w:szCs w:val="20"/>
        </w:rPr>
        <w:t>Honest reporting of modest performance with explicit limitations discussion</w:t>
      </w:r>
    </w:p>
    <w:p w14:paraId="667EDCB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b/>
          <w:bCs/>
          <w:sz w:val="20"/>
          <w:szCs w:val="20"/>
        </w:rPr>
        <w:t>Future Directions</w:t>
      </w:r>
      <w:r w:rsidRPr="00043AF0">
        <w:rPr>
          <w:rFonts w:ascii="Times New Roman" w:hAnsi="Times New Roman" w:cs="Times New Roman"/>
          <w:sz w:val="20"/>
          <w:szCs w:val="20"/>
        </w:rPr>
        <w:t>:</w:t>
      </w:r>
    </w:p>
    <w:p w14:paraId="2BE6C482"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Future work should address the following:</w:t>
      </w:r>
    </w:p>
    <w:p w14:paraId="4F0D6925" w14:textId="77777777" w:rsidR="00043AF0" w:rsidRPr="00043AF0" w:rsidRDefault="00043AF0" w:rsidP="00C8361E">
      <w:pPr>
        <w:numPr>
          <w:ilvl w:val="0"/>
          <w:numId w:val="10"/>
        </w:numPr>
        <w:tabs>
          <w:tab w:val="clear" w:pos="720"/>
          <w:tab w:val="num" w:pos="360"/>
        </w:tabs>
        <w:ind w:left="270" w:hanging="270"/>
        <w:jc w:val="both"/>
        <w:rPr>
          <w:rFonts w:ascii="Times New Roman" w:hAnsi="Times New Roman" w:cs="Times New Roman"/>
          <w:sz w:val="20"/>
          <w:szCs w:val="20"/>
        </w:rPr>
      </w:pPr>
      <w:r w:rsidRPr="00043AF0">
        <w:rPr>
          <w:rFonts w:ascii="Times New Roman" w:hAnsi="Times New Roman" w:cs="Times New Roman"/>
          <w:b/>
          <w:bCs/>
          <w:sz w:val="20"/>
          <w:szCs w:val="20"/>
        </w:rPr>
        <w:t>Walk-Forward Validation</w:t>
      </w:r>
      <w:r w:rsidRPr="00043AF0">
        <w:rPr>
          <w:rFonts w:ascii="Times New Roman" w:hAnsi="Times New Roman" w:cs="Times New Roman"/>
          <w:sz w:val="20"/>
          <w:szCs w:val="20"/>
        </w:rPr>
        <w:t>: Implement rolling window analysis across multiple time periods (e.g., 16 windows from 2009-2025) to establish temporal robustness and identify regime-dependent performance patterns.</w:t>
      </w:r>
    </w:p>
    <w:p w14:paraId="508799F1" w14:textId="77777777" w:rsidR="00043AF0" w:rsidRPr="00043AF0" w:rsidRDefault="00043AF0" w:rsidP="00C8361E">
      <w:pPr>
        <w:numPr>
          <w:ilvl w:val="0"/>
          <w:numId w:val="10"/>
        </w:numPr>
        <w:tabs>
          <w:tab w:val="clear" w:pos="720"/>
          <w:tab w:val="num" w:pos="360"/>
        </w:tabs>
        <w:ind w:left="270" w:hanging="270"/>
        <w:jc w:val="both"/>
        <w:rPr>
          <w:rFonts w:ascii="Times New Roman" w:hAnsi="Times New Roman" w:cs="Times New Roman"/>
          <w:sz w:val="20"/>
          <w:szCs w:val="20"/>
        </w:rPr>
      </w:pPr>
      <w:r w:rsidRPr="00043AF0">
        <w:rPr>
          <w:rFonts w:ascii="Times New Roman" w:hAnsi="Times New Roman" w:cs="Times New Roman"/>
          <w:b/>
          <w:bCs/>
          <w:sz w:val="20"/>
          <w:szCs w:val="20"/>
        </w:rPr>
        <w:t>Multi-Modal Features</w:t>
      </w:r>
      <w:r w:rsidRPr="00043AF0">
        <w:rPr>
          <w:rFonts w:ascii="Times New Roman" w:hAnsi="Times New Roman" w:cs="Times New Roman"/>
          <w:sz w:val="20"/>
          <w:szCs w:val="20"/>
        </w:rPr>
        <w:t xml:space="preserve">: Integrate fundamental indicators (P/E ratios, earnings growth, debt levels), sentiment analysis from news and social media, and macroeconomic variables </w:t>
      </w:r>
      <w:r w:rsidRPr="00043AF0">
        <w:rPr>
          <w:rFonts w:ascii="Times New Roman" w:hAnsi="Times New Roman" w:cs="Times New Roman"/>
          <w:sz w:val="20"/>
          <w:szCs w:val="20"/>
        </w:rPr>
        <w:lastRenderedPageBreak/>
        <w:t>(interest rates, GDP, inflation) to create a more comprehensive predictive model.</w:t>
      </w:r>
    </w:p>
    <w:p w14:paraId="7D2982CC" w14:textId="345136B4" w:rsidR="00043AF0" w:rsidRPr="00043AF0" w:rsidRDefault="00043AF0" w:rsidP="00C8361E">
      <w:pPr>
        <w:numPr>
          <w:ilvl w:val="0"/>
          <w:numId w:val="10"/>
        </w:numPr>
        <w:tabs>
          <w:tab w:val="clear" w:pos="720"/>
          <w:tab w:val="num" w:pos="360"/>
        </w:tabs>
        <w:ind w:left="270" w:hanging="270"/>
        <w:jc w:val="both"/>
        <w:rPr>
          <w:rFonts w:ascii="Times New Roman" w:hAnsi="Times New Roman" w:cs="Times New Roman"/>
          <w:sz w:val="20"/>
          <w:szCs w:val="20"/>
        </w:rPr>
      </w:pPr>
      <w:r w:rsidRPr="00043AF0">
        <w:rPr>
          <w:rFonts w:ascii="Times New Roman" w:hAnsi="Times New Roman" w:cs="Times New Roman"/>
          <w:b/>
          <w:bCs/>
          <w:sz w:val="20"/>
          <w:szCs w:val="20"/>
        </w:rPr>
        <w:t>Ensemble Methods</w:t>
      </w:r>
      <w:r w:rsidRPr="00043AF0">
        <w:rPr>
          <w:rFonts w:ascii="Times New Roman" w:hAnsi="Times New Roman" w:cs="Times New Roman"/>
          <w:sz w:val="20"/>
          <w:szCs w:val="20"/>
        </w:rPr>
        <w:t xml:space="preserve">: Combine multiple algorithms (Random Forest, </w:t>
      </w:r>
      <w:proofErr w:type="spellStart"/>
      <w:r w:rsidRPr="00043AF0">
        <w:rPr>
          <w:rFonts w:ascii="Times New Roman" w:hAnsi="Times New Roman" w:cs="Times New Roman"/>
          <w:sz w:val="20"/>
          <w:szCs w:val="20"/>
        </w:rPr>
        <w:t>XGBoost</w:t>
      </w:r>
      <w:proofErr w:type="spellEnd"/>
      <w:r w:rsidRPr="00043AF0">
        <w:rPr>
          <w:rFonts w:ascii="Times New Roman" w:hAnsi="Times New Roman" w:cs="Times New Roman"/>
          <w:sz w:val="20"/>
          <w:szCs w:val="20"/>
        </w:rPr>
        <w:t xml:space="preserve">, </w:t>
      </w:r>
      <w:proofErr w:type="spellStart"/>
      <w:r w:rsidRPr="00043AF0">
        <w:rPr>
          <w:rFonts w:ascii="Times New Roman" w:hAnsi="Times New Roman" w:cs="Times New Roman"/>
          <w:sz w:val="20"/>
          <w:szCs w:val="20"/>
        </w:rPr>
        <w:t>LightGBM</w:t>
      </w:r>
      <w:proofErr w:type="spellEnd"/>
      <w:r w:rsidRPr="00043AF0">
        <w:rPr>
          <w:rFonts w:ascii="Times New Roman" w:hAnsi="Times New Roman" w:cs="Times New Roman"/>
          <w:sz w:val="20"/>
          <w:szCs w:val="20"/>
        </w:rPr>
        <w:t>, LSTM) through stacking or blending to leverage complementary strengths and improve robustness.</w:t>
      </w:r>
    </w:p>
    <w:p w14:paraId="3C8BBA8E" w14:textId="77777777" w:rsidR="00043AF0" w:rsidRPr="00043AF0" w:rsidRDefault="00043AF0" w:rsidP="00C8361E">
      <w:pPr>
        <w:numPr>
          <w:ilvl w:val="0"/>
          <w:numId w:val="10"/>
        </w:numPr>
        <w:tabs>
          <w:tab w:val="clear" w:pos="720"/>
          <w:tab w:val="num" w:pos="360"/>
        </w:tabs>
        <w:ind w:left="270" w:hanging="270"/>
        <w:jc w:val="both"/>
        <w:rPr>
          <w:rFonts w:ascii="Times New Roman" w:hAnsi="Times New Roman" w:cs="Times New Roman"/>
          <w:sz w:val="20"/>
          <w:szCs w:val="20"/>
        </w:rPr>
      </w:pPr>
      <w:r w:rsidRPr="00043AF0">
        <w:rPr>
          <w:rFonts w:ascii="Times New Roman" w:hAnsi="Times New Roman" w:cs="Times New Roman"/>
          <w:b/>
          <w:bCs/>
          <w:sz w:val="20"/>
          <w:szCs w:val="20"/>
        </w:rPr>
        <w:t>Shorter Prediction Horizons</w:t>
      </w:r>
      <w:r w:rsidRPr="00043AF0">
        <w:rPr>
          <w:rFonts w:ascii="Times New Roman" w:hAnsi="Times New Roman" w:cs="Times New Roman"/>
          <w:sz w:val="20"/>
          <w:szCs w:val="20"/>
        </w:rPr>
        <w:t>: Investigate 5-day, 10-day, and 20-day horizons where technical indicators may show stronger signals before mean reversion effects dominate.</w:t>
      </w:r>
    </w:p>
    <w:p w14:paraId="5780A989" w14:textId="77777777" w:rsidR="00043AF0" w:rsidRPr="00043AF0" w:rsidRDefault="00043AF0" w:rsidP="00C8361E">
      <w:pPr>
        <w:numPr>
          <w:ilvl w:val="0"/>
          <w:numId w:val="10"/>
        </w:numPr>
        <w:tabs>
          <w:tab w:val="clear" w:pos="720"/>
          <w:tab w:val="num" w:pos="360"/>
        </w:tabs>
        <w:ind w:left="270" w:hanging="270"/>
        <w:jc w:val="both"/>
        <w:rPr>
          <w:rFonts w:ascii="Times New Roman" w:hAnsi="Times New Roman" w:cs="Times New Roman"/>
          <w:sz w:val="20"/>
          <w:szCs w:val="20"/>
        </w:rPr>
      </w:pPr>
      <w:r w:rsidRPr="00043AF0">
        <w:rPr>
          <w:rFonts w:ascii="Times New Roman" w:hAnsi="Times New Roman" w:cs="Times New Roman"/>
          <w:b/>
          <w:bCs/>
          <w:sz w:val="20"/>
          <w:szCs w:val="20"/>
        </w:rPr>
        <w:t>Adaptive Learning</w:t>
      </w:r>
      <w:r w:rsidRPr="00043AF0">
        <w:rPr>
          <w:rFonts w:ascii="Times New Roman" w:hAnsi="Times New Roman" w:cs="Times New Roman"/>
          <w:sz w:val="20"/>
          <w:szCs w:val="20"/>
        </w:rPr>
        <w:t>: Implement online learning mechanisms that adapt model parameters to changing market regimes, detecting structural breaks and adjusting feature weights accordingly.</w:t>
      </w:r>
    </w:p>
    <w:p w14:paraId="7DF4BF56" w14:textId="77777777" w:rsidR="00043AF0" w:rsidRPr="00043AF0" w:rsidRDefault="00043AF0" w:rsidP="00C8361E">
      <w:pPr>
        <w:numPr>
          <w:ilvl w:val="0"/>
          <w:numId w:val="10"/>
        </w:numPr>
        <w:tabs>
          <w:tab w:val="clear" w:pos="720"/>
          <w:tab w:val="num" w:pos="360"/>
        </w:tabs>
        <w:ind w:left="270" w:hanging="270"/>
        <w:jc w:val="both"/>
        <w:rPr>
          <w:rFonts w:ascii="Times New Roman" w:hAnsi="Times New Roman" w:cs="Times New Roman"/>
          <w:sz w:val="20"/>
          <w:szCs w:val="20"/>
        </w:rPr>
      </w:pPr>
      <w:r w:rsidRPr="00043AF0">
        <w:rPr>
          <w:rFonts w:ascii="Times New Roman" w:hAnsi="Times New Roman" w:cs="Times New Roman"/>
          <w:b/>
          <w:bCs/>
          <w:sz w:val="20"/>
          <w:szCs w:val="20"/>
        </w:rPr>
        <w:t>Portfolio-Level Optimization</w:t>
      </w:r>
      <w:r w:rsidRPr="00043AF0">
        <w:rPr>
          <w:rFonts w:ascii="Times New Roman" w:hAnsi="Times New Roman" w:cs="Times New Roman"/>
          <w:sz w:val="20"/>
          <w:szCs w:val="20"/>
        </w:rPr>
        <w:t>: Extend from single-stock prediction to portfolio construction, incorporating correlation structure, risk constraints, and transaction cost optimization.</w:t>
      </w:r>
    </w:p>
    <w:p w14:paraId="315D4CE4" w14:textId="77777777" w:rsidR="00043AF0" w:rsidRPr="00043AF0" w:rsidRDefault="00043AF0" w:rsidP="00C8361E">
      <w:pPr>
        <w:numPr>
          <w:ilvl w:val="0"/>
          <w:numId w:val="10"/>
        </w:numPr>
        <w:tabs>
          <w:tab w:val="clear" w:pos="720"/>
          <w:tab w:val="num" w:pos="360"/>
        </w:tabs>
        <w:ind w:left="270" w:hanging="270"/>
        <w:jc w:val="both"/>
        <w:rPr>
          <w:rFonts w:ascii="Times New Roman" w:hAnsi="Times New Roman" w:cs="Times New Roman"/>
          <w:sz w:val="20"/>
          <w:szCs w:val="20"/>
        </w:rPr>
      </w:pPr>
      <w:r w:rsidRPr="00043AF0">
        <w:rPr>
          <w:rFonts w:ascii="Times New Roman" w:hAnsi="Times New Roman" w:cs="Times New Roman"/>
          <w:b/>
          <w:bCs/>
          <w:sz w:val="20"/>
          <w:szCs w:val="20"/>
        </w:rPr>
        <w:t>Cross-Market Validation</w:t>
      </w:r>
      <w:r w:rsidRPr="00043AF0">
        <w:rPr>
          <w:rFonts w:ascii="Times New Roman" w:hAnsi="Times New Roman" w:cs="Times New Roman"/>
          <w:sz w:val="20"/>
          <w:szCs w:val="20"/>
        </w:rPr>
        <w:t>: Test methodology on other markets (US S&amp;P 500, European STOXX, Asian indices) and asset classes (currencies, commodities) to assess generalizability.</w:t>
      </w:r>
    </w:p>
    <w:p w14:paraId="635B8A09" w14:textId="77777777" w:rsidR="00043AF0" w:rsidRPr="00043AF0" w:rsidRDefault="00043AF0" w:rsidP="00C8361E">
      <w:pPr>
        <w:numPr>
          <w:ilvl w:val="0"/>
          <w:numId w:val="10"/>
        </w:numPr>
        <w:tabs>
          <w:tab w:val="clear" w:pos="720"/>
          <w:tab w:val="num" w:pos="360"/>
        </w:tabs>
        <w:ind w:left="270" w:hanging="270"/>
        <w:jc w:val="both"/>
        <w:rPr>
          <w:rFonts w:ascii="Times New Roman" w:hAnsi="Times New Roman" w:cs="Times New Roman"/>
          <w:sz w:val="20"/>
          <w:szCs w:val="20"/>
        </w:rPr>
      </w:pPr>
      <w:r w:rsidRPr="00043AF0">
        <w:rPr>
          <w:rFonts w:ascii="Times New Roman" w:hAnsi="Times New Roman" w:cs="Times New Roman"/>
          <w:b/>
          <w:bCs/>
          <w:sz w:val="20"/>
          <w:szCs w:val="20"/>
        </w:rPr>
        <w:t>Explainability</w:t>
      </w:r>
      <w:r w:rsidRPr="00043AF0">
        <w:rPr>
          <w:rFonts w:ascii="Times New Roman" w:hAnsi="Times New Roman" w:cs="Times New Roman"/>
          <w:sz w:val="20"/>
          <w:szCs w:val="20"/>
        </w:rPr>
        <w:t>: Apply SHAP values or LIME to provide instance-level explanations for specific predictions, enhancing interpretability for risk management and regulatory compliance.</w:t>
      </w:r>
    </w:p>
    <w:p w14:paraId="49CB78D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findings underscore that while machine learning can extract weak signals from technical patterns, achieving competitive performance in financial markets requires multi-modal data integration, sophisticated risk management, and continuous adaptation to evolving market dynamics.</w:t>
      </w:r>
    </w:p>
    <w:p w14:paraId="696759B4"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ACKNOWLEDGMENTS</w:t>
      </w:r>
    </w:p>
    <w:p w14:paraId="3CE935DE"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The authors thank [Institution/Advisor Name] for computational resources and guidance. Historical stock price data was obtained from Yahoo Finance and the National Stock Exchange of India.</w:t>
      </w:r>
    </w:p>
    <w:p w14:paraId="5CACFA4C" w14:textId="77777777" w:rsidR="00043AF0" w:rsidRPr="00043AF0" w:rsidRDefault="00043AF0" w:rsidP="00043AF0">
      <w:pPr>
        <w:jc w:val="both"/>
        <w:rPr>
          <w:rFonts w:ascii="Times New Roman" w:hAnsi="Times New Roman" w:cs="Times New Roman"/>
          <w:b/>
          <w:bCs/>
          <w:sz w:val="20"/>
          <w:szCs w:val="20"/>
        </w:rPr>
      </w:pPr>
      <w:r w:rsidRPr="00043AF0">
        <w:rPr>
          <w:rFonts w:ascii="Times New Roman" w:hAnsi="Times New Roman" w:cs="Times New Roman"/>
          <w:b/>
          <w:bCs/>
          <w:sz w:val="20"/>
          <w:szCs w:val="20"/>
        </w:rPr>
        <w:t>REFERENCES</w:t>
      </w:r>
    </w:p>
    <w:p w14:paraId="730B21A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[1] M. Zulqarnain et al., "A systematic review of recent advances on stock markets prediction using machine learning," </w:t>
      </w:r>
      <w:r w:rsidRPr="00043AF0">
        <w:rPr>
          <w:rFonts w:ascii="Times New Roman" w:hAnsi="Times New Roman" w:cs="Times New Roman"/>
          <w:i/>
          <w:iCs/>
          <w:sz w:val="20"/>
          <w:szCs w:val="20"/>
        </w:rPr>
        <w:t>International Journal of Intelligent Systems and Applications in Engineering (IJISAE)</w:t>
      </w:r>
      <w:r w:rsidRPr="00043AF0">
        <w:rPr>
          <w:rFonts w:ascii="Times New Roman" w:hAnsi="Times New Roman" w:cs="Times New Roman"/>
          <w:sz w:val="20"/>
          <w:szCs w:val="20"/>
        </w:rPr>
        <w:t>, 2024.</w:t>
      </w:r>
    </w:p>
    <w:p w14:paraId="0D170107"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[2] S. Ahmed et al., "How effective is machine learning in stock market </w:t>
      </w:r>
      <w:proofErr w:type="gramStart"/>
      <w:r w:rsidRPr="00043AF0">
        <w:rPr>
          <w:rFonts w:ascii="Times New Roman" w:hAnsi="Times New Roman" w:cs="Times New Roman"/>
          <w:sz w:val="20"/>
          <w:szCs w:val="20"/>
        </w:rPr>
        <w:t>predictions?,</w:t>
      </w:r>
      <w:proofErr w:type="gramEnd"/>
      <w:r w:rsidRPr="00043AF0">
        <w:rPr>
          <w:rFonts w:ascii="Times New Roman" w:hAnsi="Times New Roman" w:cs="Times New Roman"/>
          <w:sz w:val="20"/>
          <w:szCs w:val="20"/>
        </w:rPr>
        <w:t xml:space="preserve">" </w:t>
      </w:r>
      <w:proofErr w:type="spellStart"/>
      <w:r w:rsidRPr="00043AF0">
        <w:rPr>
          <w:rFonts w:ascii="Times New Roman" w:hAnsi="Times New Roman" w:cs="Times New Roman"/>
          <w:i/>
          <w:iCs/>
          <w:sz w:val="20"/>
          <w:szCs w:val="20"/>
        </w:rPr>
        <w:t>Heliyon</w:t>
      </w:r>
      <w:proofErr w:type="spellEnd"/>
      <w:r w:rsidRPr="00043AF0">
        <w:rPr>
          <w:rFonts w:ascii="Times New Roman" w:hAnsi="Times New Roman" w:cs="Times New Roman"/>
          <w:sz w:val="20"/>
          <w:szCs w:val="20"/>
        </w:rPr>
        <w:t>, vol. 10, 2024.</w:t>
      </w:r>
    </w:p>
    <w:p w14:paraId="468F18A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[3] K. Chen et al., "Applying machine learning algorithms to predict the stock price trend in emerging markets," </w:t>
      </w:r>
      <w:r w:rsidRPr="00043AF0">
        <w:rPr>
          <w:rFonts w:ascii="Times New Roman" w:hAnsi="Times New Roman" w:cs="Times New Roman"/>
          <w:i/>
          <w:iCs/>
          <w:sz w:val="20"/>
          <w:szCs w:val="20"/>
        </w:rPr>
        <w:t>Humanities and Social Sciences Communications (Nature portfolio)</w:t>
      </w:r>
      <w:r w:rsidRPr="00043AF0">
        <w:rPr>
          <w:rFonts w:ascii="Times New Roman" w:hAnsi="Times New Roman" w:cs="Times New Roman"/>
          <w:sz w:val="20"/>
          <w:szCs w:val="20"/>
        </w:rPr>
        <w:t>, vol. 11, 2024.</w:t>
      </w:r>
    </w:p>
    <w:p w14:paraId="7AB261F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[4] A. Khan et al., "Forecasting stock market behavior in BRICS economies using machine learning methods," </w:t>
      </w:r>
      <w:r w:rsidRPr="00043AF0">
        <w:rPr>
          <w:rFonts w:ascii="Times New Roman" w:hAnsi="Times New Roman" w:cs="Times New Roman"/>
          <w:i/>
          <w:iCs/>
          <w:sz w:val="20"/>
          <w:szCs w:val="20"/>
        </w:rPr>
        <w:t>Journal of Business and Socio-economic Development (Emerald)</w:t>
      </w:r>
      <w:r w:rsidRPr="00043AF0">
        <w:rPr>
          <w:rFonts w:ascii="Times New Roman" w:hAnsi="Times New Roman" w:cs="Times New Roman"/>
          <w:sz w:val="20"/>
          <w:szCs w:val="20"/>
        </w:rPr>
        <w:t>, 2025.</w:t>
      </w:r>
    </w:p>
    <w:p w14:paraId="28660925"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[5] Y. Li et al., "Feature learning for stock price prediction shows a significant role of technical and fundamental indicators," </w:t>
      </w:r>
      <w:proofErr w:type="spellStart"/>
      <w:r w:rsidRPr="00043AF0">
        <w:rPr>
          <w:rFonts w:ascii="Times New Roman" w:hAnsi="Times New Roman" w:cs="Times New Roman"/>
          <w:i/>
          <w:iCs/>
          <w:sz w:val="20"/>
          <w:szCs w:val="20"/>
        </w:rPr>
        <w:t>arXiv</w:t>
      </w:r>
      <w:proofErr w:type="spellEnd"/>
      <w:r w:rsidRPr="00043AF0">
        <w:rPr>
          <w:rFonts w:ascii="Times New Roman" w:hAnsi="Times New Roman" w:cs="Times New Roman"/>
          <w:i/>
          <w:iCs/>
          <w:sz w:val="20"/>
          <w:szCs w:val="20"/>
        </w:rPr>
        <w:t xml:space="preserve"> preprint arXiv:2103.09106</w:t>
      </w:r>
      <w:r w:rsidRPr="00043AF0">
        <w:rPr>
          <w:rFonts w:ascii="Times New Roman" w:hAnsi="Times New Roman" w:cs="Times New Roman"/>
          <w:sz w:val="20"/>
          <w:szCs w:val="20"/>
        </w:rPr>
        <w:t>, 2021.</w:t>
      </w:r>
    </w:p>
    <w:p w14:paraId="6D798903" w14:textId="038C8D4A"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[6] S. Patel et al., "Forecasting profitability in equity trades using random forest, support vector machines, and </w:t>
      </w:r>
      <w:proofErr w:type="spellStart"/>
      <w:r w:rsidRPr="00043AF0">
        <w:rPr>
          <w:rFonts w:ascii="Times New Roman" w:hAnsi="Times New Roman" w:cs="Times New Roman"/>
          <w:sz w:val="20"/>
          <w:szCs w:val="20"/>
        </w:rPr>
        <w:t>XGBoost</w:t>
      </w:r>
      <w:proofErr w:type="spellEnd"/>
      <w:r w:rsidRPr="00043AF0">
        <w:rPr>
          <w:rFonts w:ascii="Times New Roman" w:hAnsi="Times New Roman" w:cs="Times New Roman"/>
          <w:sz w:val="20"/>
          <w:szCs w:val="20"/>
        </w:rPr>
        <w:t xml:space="preserve">," in </w:t>
      </w:r>
      <w:r w:rsidRPr="00043AF0">
        <w:rPr>
          <w:rFonts w:ascii="Times New Roman" w:hAnsi="Times New Roman" w:cs="Times New Roman"/>
          <w:i/>
          <w:iCs/>
          <w:sz w:val="20"/>
          <w:szCs w:val="20"/>
        </w:rPr>
        <w:t>Proc. National Conference (</w:t>
      </w:r>
      <w:proofErr w:type="spellStart"/>
      <w:r w:rsidRPr="00043AF0">
        <w:rPr>
          <w:rFonts w:ascii="Times New Roman" w:hAnsi="Times New Roman" w:cs="Times New Roman"/>
          <w:i/>
          <w:iCs/>
          <w:sz w:val="20"/>
          <w:szCs w:val="20"/>
        </w:rPr>
        <w:t>ConferenceWorld</w:t>
      </w:r>
      <w:proofErr w:type="spellEnd"/>
      <w:r w:rsidRPr="00043AF0">
        <w:rPr>
          <w:rFonts w:ascii="Times New Roman" w:hAnsi="Times New Roman" w:cs="Times New Roman"/>
          <w:i/>
          <w:iCs/>
          <w:sz w:val="20"/>
          <w:szCs w:val="20"/>
        </w:rPr>
        <w:t>)</w:t>
      </w:r>
      <w:r w:rsidRPr="00043AF0">
        <w:rPr>
          <w:rFonts w:ascii="Times New Roman" w:hAnsi="Times New Roman" w:cs="Times New Roman"/>
          <w:sz w:val="20"/>
          <w:szCs w:val="20"/>
        </w:rPr>
        <w:t>, 2019.</w:t>
      </w:r>
    </w:p>
    <w:p w14:paraId="6A8A173F" w14:textId="2F89FD50"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[7] R. Anderson et al., "A test of lookahead bias in LLM forecasts," </w:t>
      </w:r>
      <w:proofErr w:type="spellStart"/>
      <w:r w:rsidRPr="00043AF0">
        <w:rPr>
          <w:rFonts w:ascii="Times New Roman" w:hAnsi="Times New Roman" w:cs="Times New Roman"/>
          <w:i/>
          <w:iCs/>
          <w:sz w:val="20"/>
          <w:szCs w:val="20"/>
        </w:rPr>
        <w:t>arXiv</w:t>
      </w:r>
      <w:proofErr w:type="spellEnd"/>
      <w:r w:rsidRPr="00043AF0">
        <w:rPr>
          <w:rFonts w:ascii="Times New Roman" w:hAnsi="Times New Roman" w:cs="Times New Roman"/>
          <w:i/>
          <w:iCs/>
          <w:sz w:val="20"/>
          <w:szCs w:val="20"/>
        </w:rPr>
        <w:t xml:space="preserve"> preprint</w:t>
      </w:r>
      <w:r w:rsidRPr="00043AF0">
        <w:rPr>
          <w:rFonts w:ascii="Times New Roman" w:hAnsi="Times New Roman" w:cs="Times New Roman"/>
          <w:sz w:val="20"/>
          <w:szCs w:val="20"/>
        </w:rPr>
        <w:t>, 2025.</w:t>
      </w:r>
    </w:p>
    <w:p w14:paraId="4EAAC01A"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[8] E. F. Fama, "Efficient capital markets: A review of theory and empirical work," </w:t>
      </w:r>
      <w:r w:rsidRPr="00043AF0">
        <w:rPr>
          <w:rFonts w:ascii="Times New Roman" w:hAnsi="Times New Roman" w:cs="Times New Roman"/>
          <w:i/>
          <w:iCs/>
          <w:sz w:val="20"/>
          <w:szCs w:val="20"/>
        </w:rPr>
        <w:t>Journal of Finance</w:t>
      </w:r>
      <w:r w:rsidRPr="00043AF0">
        <w:rPr>
          <w:rFonts w:ascii="Times New Roman" w:hAnsi="Times New Roman" w:cs="Times New Roman"/>
          <w:sz w:val="20"/>
          <w:szCs w:val="20"/>
        </w:rPr>
        <w:t>, vol. 25, no. 2, pp. 383-417, 1970.</w:t>
      </w:r>
    </w:p>
    <w:p w14:paraId="079874B9"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[9] L. </w:t>
      </w:r>
      <w:proofErr w:type="spellStart"/>
      <w:r w:rsidRPr="00043AF0">
        <w:rPr>
          <w:rFonts w:ascii="Times New Roman" w:hAnsi="Times New Roman" w:cs="Times New Roman"/>
          <w:sz w:val="20"/>
          <w:szCs w:val="20"/>
        </w:rPr>
        <w:t>Breiman</w:t>
      </w:r>
      <w:proofErr w:type="spellEnd"/>
      <w:r w:rsidRPr="00043AF0">
        <w:rPr>
          <w:rFonts w:ascii="Times New Roman" w:hAnsi="Times New Roman" w:cs="Times New Roman"/>
          <w:sz w:val="20"/>
          <w:szCs w:val="20"/>
        </w:rPr>
        <w:t xml:space="preserve">, "Random forests," </w:t>
      </w:r>
      <w:r w:rsidRPr="00043AF0">
        <w:rPr>
          <w:rFonts w:ascii="Times New Roman" w:hAnsi="Times New Roman" w:cs="Times New Roman"/>
          <w:i/>
          <w:iCs/>
          <w:sz w:val="20"/>
          <w:szCs w:val="20"/>
        </w:rPr>
        <w:t>Machine Learning</w:t>
      </w:r>
      <w:r w:rsidRPr="00043AF0">
        <w:rPr>
          <w:rFonts w:ascii="Times New Roman" w:hAnsi="Times New Roman" w:cs="Times New Roman"/>
          <w:sz w:val="20"/>
          <w:szCs w:val="20"/>
        </w:rPr>
        <w:t>, vol. 45, no. 1, pp. 5-32, 2001.</w:t>
      </w:r>
    </w:p>
    <w:p w14:paraId="7EC2976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[10] S. Hochreiter and J. </w:t>
      </w:r>
      <w:proofErr w:type="spellStart"/>
      <w:r w:rsidRPr="00043AF0">
        <w:rPr>
          <w:rFonts w:ascii="Times New Roman" w:hAnsi="Times New Roman" w:cs="Times New Roman"/>
          <w:sz w:val="20"/>
          <w:szCs w:val="20"/>
        </w:rPr>
        <w:t>Schmidhuber</w:t>
      </w:r>
      <w:proofErr w:type="spellEnd"/>
      <w:r w:rsidRPr="00043AF0">
        <w:rPr>
          <w:rFonts w:ascii="Times New Roman" w:hAnsi="Times New Roman" w:cs="Times New Roman"/>
          <w:sz w:val="20"/>
          <w:szCs w:val="20"/>
        </w:rPr>
        <w:t xml:space="preserve">, "Long short-term memory," </w:t>
      </w:r>
      <w:r w:rsidRPr="00043AF0">
        <w:rPr>
          <w:rFonts w:ascii="Times New Roman" w:hAnsi="Times New Roman" w:cs="Times New Roman"/>
          <w:i/>
          <w:iCs/>
          <w:sz w:val="20"/>
          <w:szCs w:val="20"/>
        </w:rPr>
        <w:t>Neural Computation</w:t>
      </w:r>
      <w:r w:rsidRPr="00043AF0">
        <w:rPr>
          <w:rFonts w:ascii="Times New Roman" w:hAnsi="Times New Roman" w:cs="Times New Roman"/>
          <w:sz w:val="20"/>
          <w:szCs w:val="20"/>
        </w:rPr>
        <w:t>, vol. 9, no. 8, pp. 1735-1780, 1997.</w:t>
      </w:r>
    </w:p>
    <w:p w14:paraId="0A380F9C"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[11] J. J. Murphy, </w:t>
      </w:r>
      <w:r w:rsidRPr="00043AF0">
        <w:rPr>
          <w:rFonts w:ascii="Times New Roman" w:hAnsi="Times New Roman" w:cs="Times New Roman"/>
          <w:i/>
          <w:iCs/>
          <w:sz w:val="20"/>
          <w:szCs w:val="20"/>
        </w:rPr>
        <w:t>Technical Analysis of the Financial Markets</w:t>
      </w:r>
      <w:r w:rsidRPr="00043AF0">
        <w:rPr>
          <w:rFonts w:ascii="Times New Roman" w:hAnsi="Times New Roman" w:cs="Times New Roman"/>
          <w:sz w:val="20"/>
          <w:szCs w:val="20"/>
        </w:rPr>
        <w:t>, New York Institute of Finance, 1999.</w:t>
      </w:r>
    </w:p>
    <w:p w14:paraId="23BB9370"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[12] A. W. Lo, H. Mamaysky, and J. Wang, "Foundations of technical analysis: Computational algorithms, statistical inference, and empirical implementation," </w:t>
      </w:r>
      <w:r w:rsidRPr="00043AF0">
        <w:rPr>
          <w:rFonts w:ascii="Times New Roman" w:hAnsi="Times New Roman" w:cs="Times New Roman"/>
          <w:i/>
          <w:iCs/>
          <w:sz w:val="20"/>
          <w:szCs w:val="20"/>
        </w:rPr>
        <w:t>Journal of Finance</w:t>
      </w:r>
      <w:r w:rsidRPr="00043AF0">
        <w:rPr>
          <w:rFonts w:ascii="Times New Roman" w:hAnsi="Times New Roman" w:cs="Times New Roman"/>
          <w:sz w:val="20"/>
          <w:szCs w:val="20"/>
        </w:rPr>
        <w:t>, vol. 55, no. 4, pp. 1705-1765, 2000.</w:t>
      </w:r>
    </w:p>
    <w:p w14:paraId="6E13F944"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[13] R. Pardo, </w:t>
      </w:r>
      <w:r w:rsidRPr="00043AF0">
        <w:rPr>
          <w:rFonts w:ascii="Times New Roman" w:hAnsi="Times New Roman" w:cs="Times New Roman"/>
          <w:i/>
          <w:iCs/>
          <w:sz w:val="20"/>
          <w:szCs w:val="20"/>
        </w:rPr>
        <w:t>The Evaluation and Optimization of Trading Strategies</w:t>
      </w:r>
      <w:r w:rsidRPr="00043AF0">
        <w:rPr>
          <w:rFonts w:ascii="Times New Roman" w:hAnsi="Times New Roman" w:cs="Times New Roman"/>
          <w:sz w:val="20"/>
          <w:szCs w:val="20"/>
        </w:rPr>
        <w:t>, 2nd ed., Wiley, 2008.</w:t>
      </w:r>
    </w:p>
    <w:p w14:paraId="0F4E8DC8" w14:textId="77777777" w:rsidR="00043AF0" w:rsidRPr="00043AF0" w:rsidRDefault="00043AF0" w:rsidP="00043AF0">
      <w:pPr>
        <w:jc w:val="both"/>
        <w:rPr>
          <w:rFonts w:ascii="Times New Roman" w:hAnsi="Times New Roman" w:cs="Times New Roman"/>
          <w:sz w:val="20"/>
          <w:szCs w:val="20"/>
        </w:rPr>
      </w:pPr>
      <w:r w:rsidRPr="00043AF0">
        <w:rPr>
          <w:rFonts w:ascii="Times New Roman" w:hAnsi="Times New Roman" w:cs="Times New Roman"/>
          <w:sz w:val="20"/>
          <w:szCs w:val="20"/>
        </w:rPr>
        <w:t xml:space="preserve">[14] T. Fawcett, "An introduction to ROC analysis," </w:t>
      </w:r>
      <w:r w:rsidRPr="00043AF0">
        <w:rPr>
          <w:rFonts w:ascii="Times New Roman" w:hAnsi="Times New Roman" w:cs="Times New Roman"/>
          <w:i/>
          <w:iCs/>
          <w:sz w:val="20"/>
          <w:szCs w:val="20"/>
        </w:rPr>
        <w:t>Pattern Recognition Letters</w:t>
      </w:r>
      <w:r w:rsidRPr="00043AF0">
        <w:rPr>
          <w:rFonts w:ascii="Times New Roman" w:hAnsi="Times New Roman" w:cs="Times New Roman"/>
          <w:sz w:val="20"/>
          <w:szCs w:val="20"/>
        </w:rPr>
        <w:t>, vol. 27, no. 8, pp. 861-874, 2006.</w:t>
      </w:r>
    </w:p>
    <w:p w14:paraId="5EB6008A" w14:textId="77777777" w:rsidR="00832174" w:rsidRPr="00043AF0" w:rsidRDefault="00832174" w:rsidP="00043AF0">
      <w:pPr>
        <w:jc w:val="both"/>
        <w:rPr>
          <w:rFonts w:ascii="Times New Roman" w:hAnsi="Times New Roman" w:cs="Times New Roman"/>
          <w:sz w:val="22"/>
          <w:szCs w:val="22"/>
        </w:rPr>
      </w:pPr>
    </w:p>
    <w:sectPr w:rsidR="00832174" w:rsidRPr="00043AF0" w:rsidSect="00043AF0">
      <w:type w:val="continuous"/>
      <w:pgSz w:w="12240" w:h="15840"/>
      <w:pgMar w:top="1080"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E08"/>
    <w:multiLevelType w:val="multilevel"/>
    <w:tmpl w:val="3DEC1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51566"/>
    <w:multiLevelType w:val="multilevel"/>
    <w:tmpl w:val="5EF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F5053"/>
    <w:multiLevelType w:val="multilevel"/>
    <w:tmpl w:val="71BA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72517"/>
    <w:multiLevelType w:val="multilevel"/>
    <w:tmpl w:val="218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7376D"/>
    <w:multiLevelType w:val="multilevel"/>
    <w:tmpl w:val="33B0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441E9"/>
    <w:multiLevelType w:val="multilevel"/>
    <w:tmpl w:val="AB4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A2F58"/>
    <w:multiLevelType w:val="multilevel"/>
    <w:tmpl w:val="1B4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23AD7"/>
    <w:multiLevelType w:val="multilevel"/>
    <w:tmpl w:val="04DC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101EC"/>
    <w:multiLevelType w:val="multilevel"/>
    <w:tmpl w:val="BE84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2C47C5"/>
    <w:multiLevelType w:val="multilevel"/>
    <w:tmpl w:val="0F66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80788"/>
    <w:multiLevelType w:val="multilevel"/>
    <w:tmpl w:val="1B8E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5830BA"/>
    <w:multiLevelType w:val="multilevel"/>
    <w:tmpl w:val="1BE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989492">
    <w:abstractNumId w:val="0"/>
  </w:num>
  <w:num w:numId="2" w16cid:durableId="184439772">
    <w:abstractNumId w:val="1"/>
  </w:num>
  <w:num w:numId="3" w16cid:durableId="646128036">
    <w:abstractNumId w:val="2"/>
  </w:num>
  <w:num w:numId="4" w16cid:durableId="1735620753">
    <w:abstractNumId w:val="6"/>
  </w:num>
  <w:num w:numId="5" w16cid:durableId="1990093942">
    <w:abstractNumId w:val="7"/>
  </w:num>
  <w:num w:numId="6" w16cid:durableId="559752449">
    <w:abstractNumId w:val="3"/>
  </w:num>
  <w:num w:numId="7" w16cid:durableId="293566547">
    <w:abstractNumId w:val="4"/>
  </w:num>
  <w:num w:numId="8" w16cid:durableId="307443368">
    <w:abstractNumId w:val="5"/>
  </w:num>
  <w:num w:numId="9" w16cid:durableId="2132894552">
    <w:abstractNumId w:val="11"/>
  </w:num>
  <w:num w:numId="10" w16cid:durableId="1460997947">
    <w:abstractNumId w:val="8"/>
  </w:num>
  <w:num w:numId="11" w16cid:durableId="1719158192">
    <w:abstractNumId w:val="9"/>
  </w:num>
  <w:num w:numId="12" w16cid:durableId="7197928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AF0"/>
    <w:rsid w:val="00043AF0"/>
    <w:rsid w:val="00191535"/>
    <w:rsid w:val="001B44F5"/>
    <w:rsid w:val="0027431D"/>
    <w:rsid w:val="00296121"/>
    <w:rsid w:val="002B5380"/>
    <w:rsid w:val="002E5BEB"/>
    <w:rsid w:val="00772F01"/>
    <w:rsid w:val="007D23E1"/>
    <w:rsid w:val="00830F5A"/>
    <w:rsid w:val="00832174"/>
    <w:rsid w:val="008F4EA6"/>
    <w:rsid w:val="00AB2F38"/>
    <w:rsid w:val="00BD379D"/>
    <w:rsid w:val="00C8361E"/>
    <w:rsid w:val="00C92874"/>
    <w:rsid w:val="00CD5D7E"/>
    <w:rsid w:val="00DB55D6"/>
    <w:rsid w:val="00ED5A6E"/>
    <w:rsid w:val="00FA4A6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BEEA"/>
  <w15:chartTrackingRefBased/>
  <w15:docId w15:val="{BE9D9A0F-8BAA-4B1B-85EF-5D5DCBFD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F0"/>
    <w:rPr>
      <w:rFonts w:eastAsiaTheme="majorEastAsia" w:cstheme="majorBidi"/>
      <w:color w:val="272727" w:themeColor="text1" w:themeTint="D8"/>
    </w:rPr>
  </w:style>
  <w:style w:type="paragraph" w:styleId="Title">
    <w:name w:val="Title"/>
    <w:basedOn w:val="Normal"/>
    <w:next w:val="Normal"/>
    <w:link w:val="TitleChar"/>
    <w:uiPriority w:val="10"/>
    <w:qFormat/>
    <w:rsid w:val="00043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AF0"/>
    <w:pPr>
      <w:spacing w:before="160"/>
      <w:jc w:val="center"/>
    </w:pPr>
    <w:rPr>
      <w:i/>
      <w:iCs/>
      <w:color w:val="404040" w:themeColor="text1" w:themeTint="BF"/>
    </w:rPr>
  </w:style>
  <w:style w:type="character" w:customStyle="1" w:styleId="QuoteChar">
    <w:name w:val="Quote Char"/>
    <w:basedOn w:val="DefaultParagraphFont"/>
    <w:link w:val="Quote"/>
    <w:uiPriority w:val="29"/>
    <w:rsid w:val="00043AF0"/>
    <w:rPr>
      <w:i/>
      <w:iCs/>
      <w:color w:val="404040" w:themeColor="text1" w:themeTint="BF"/>
    </w:rPr>
  </w:style>
  <w:style w:type="paragraph" w:styleId="ListParagraph">
    <w:name w:val="List Paragraph"/>
    <w:basedOn w:val="Normal"/>
    <w:uiPriority w:val="34"/>
    <w:qFormat/>
    <w:rsid w:val="00043AF0"/>
    <w:pPr>
      <w:ind w:left="720"/>
      <w:contextualSpacing/>
    </w:pPr>
  </w:style>
  <w:style w:type="character" w:styleId="IntenseEmphasis">
    <w:name w:val="Intense Emphasis"/>
    <w:basedOn w:val="DefaultParagraphFont"/>
    <w:uiPriority w:val="21"/>
    <w:qFormat/>
    <w:rsid w:val="00043AF0"/>
    <w:rPr>
      <w:i/>
      <w:iCs/>
      <w:color w:val="2F5496" w:themeColor="accent1" w:themeShade="BF"/>
    </w:rPr>
  </w:style>
  <w:style w:type="paragraph" w:styleId="IntenseQuote">
    <w:name w:val="Intense Quote"/>
    <w:basedOn w:val="Normal"/>
    <w:next w:val="Normal"/>
    <w:link w:val="IntenseQuoteChar"/>
    <w:uiPriority w:val="30"/>
    <w:qFormat/>
    <w:rsid w:val="00043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AF0"/>
    <w:rPr>
      <w:i/>
      <w:iCs/>
      <w:color w:val="2F5496" w:themeColor="accent1" w:themeShade="BF"/>
    </w:rPr>
  </w:style>
  <w:style w:type="character" w:styleId="IntenseReference">
    <w:name w:val="Intense Reference"/>
    <w:basedOn w:val="DefaultParagraphFont"/>
    <w:uiPriority w:val="32"/>
    <w:qFormat/>
    <w:rsid w:val="00043AF0"/>
    <w:rPr>
      <w:b/>
      <w:bCs/>
      <w:smallCaps/>
      <w:color w:val="2F5496" w:themeColor="accent1" w:themeShade="BF"/>
      <w:spacing w:val="5"/>
    </w:rPr>
  </w:style>
  <w:style w:type="table" w:styleId="TableGrid">
    <w:name w:val="Table Grid"/>
    <w:basedOn w:val="TableNormal"/>
    <w:uiPriority w:val="39"/>
    <w:rsid w:val="00CD5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6793</Words>
  <Characters>38725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Ambekar</dc:creator>
  <cp:keywords/>
  <dc:description/>
  <cp:lastModifiedBy>Nilesh Ambekar</cp:lastModifiedBy>
  <cp:revision>2</cp:revision>
  <dcterms:created xsi:type="dcterms:W3CDTF">2026-03-31T12:11:00Z</dcterms:created>
  <dcterms:modified xsi:type="dcterms:W3CDTF">2026-03-31T12:11:00Z</dcterms:modified>
</cp:coreProperties>
</file>