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40"/>
        <w:jc w:val="center"/>
      </w:pPr>
      <w:r>
        <w:rPr>
          <w:rFonts w:ascii="Times New Roman" w:hAnsi="Times New Roman"/>
          <w:b/>
          <w:sz w:val="48"/>
        </w:rPr>
        <w:t>KubeSage: Automating Kubernetes Incident Investigation and Post-Mortem Report Generation using Retrieval-Augmented Generation (RAG)</w:t>
      </w:r>
    </w:p>
    <w:p>
      <w:pPr>
        <w:spacing w:before="120" w:after="360"/>
        <w:jc w:val="center"/>
      </w:pPr>
      <w:r>
        <w:rPr>
          <w:rFonts w:ascii="Times New Roman" w:hAnsi="Times New Roman"/>
          <w:sz w:val="22"/>
        </w:rPr>
        <w:t>Nilesh B., Co-Author 1, Co-Author 2</w:t>
        <w:br/>
        <w:t>School of Computing, National College of Ireland, Dublin, Ireland</w:t>
        <w:br/>
        <w:t>Email: student-ids@student.ncirl.ie</w:t>
      </w:r>
    </w:p>
    <w:p>
      <w:pPr>
        <w:spacing w:after="240"/>
        <w:ind w:left="720" w:right="720"/>
        <w:jc w:val="both"/>
      </w:pPr>
      <w:r>
        <w:rPr>
          <w:rFonts w:ascii="Times New Roman" w:hAnsi="Times New Roman"/>
          <w:b/>
          <w:i/>
          <w:sz w:val="18"/>
        </w:rPr>
        <w:t xml:space="preserve">Abstract— </w:t>
      </w:r>
      <w:r>
        <w:rPr>
          <w:rFonts w:ascii="Times New Roman" w:hAnsi="Times New Roman"/>
          <w:i/>
          <w:sz w:val="18"/>
        </w:rPr>
        <w:t>Modern cloud-native software relies heavily on microservice architectures orchestrated by Kubernetes. Due to the highly dynamic and distributed nature of these environments, software reliability engineers (SREs) face significant cognitive load when diagnosing system failures and drafting incident post-mortem reports. Common incidents such as OOMKilled database pods, CrashLoopBackOff states, image pull failures, and network connection timeouts require manual, time-consuming investigation across fragmented log outputs and terminal traces. We present KubeSage, a local, secure Retrieval-Augmented Generation (RAG) framework designed to automate the generation of structured post-mortem reports. KubeSage indexes 1,500 real-world DevOps incidents, maps and preprocesses unstructured diagnostic context, and encodes text inputs into a dense vector space using an all-MiniLM-L6-v2 Sentence-Transformer. Incidents are retrieved from a persistent ChromaDB instance using cosine similarity and passed as localized context constraints to a local, CPU-optimized SmolLM2-1.7B-Instruct Large Language Model. By enforcing strict context-level boundaries, KubeSage mitigates LLM hallucinations and generates accurate, structured, actionable reports. Our empirical evaluation shows that KubeSage achieves an Average Faithfulness score of 91.2%, a ROUGE-L similarity score of 0.81, and a retrieval NDCG@5 of 0.89. The entire pipeline executes locally on commodity hardware, ensuring strict telemetry data privacy without commercial cloud API costs.</w:t>
      </w:r>
    </w:p>
    <w:p>
      <w:pPr>
        <w:spacing w:after="360"/>
        <w:ind w:left="720" w:right="720"/>
        <w:jc w:val="both"/>
      </w:pPr>
      <w:r>
        <w:rPr>
          <w:rFonts w:ascii="Times New Roman" w:hAnsi="Times New Roman"/>
          <w:b/>
          <w:i/>
          <w:sz w:val="18"/>
        </w:rPr>
        <w:t xml:space="preserve">Index Terms— </w:t>
      </w:r>
      <w:r>
        <w:rPr>
          <w:rFonts w:ascii="Times New Roman" w:hAnsi="Times New Roman"/>
          <w:b/>
          <w:sz w:val="18"/>
        </w:rPr>
        <w:t>Kubernetes, SRE Automation, Retrieval-Augmented Generation, Local LLM, AIOps, Incident Diagnostics, ChromaDB.</w:t>
      </w:r>
    </w:p>
    <w:p>
      <w:pPr>
        <w:sectPr>
          <w:pgSz w:w="12240" w:h="15840"/>
          <w:pgMar w:top="1080" w:right="1080" w:bottom="1080" w:left="1080" w:header="720" w:footer="720" w:gutter="0"/>
          <w:cols w:space="720"/>
          <w:docGrid w:linePitch="360"/>
        </w:sectPr>
      </w:pPr>
    </w:p>
    <w:p>
      <w:pPr>
        <w:keepNext/>
        <w:spacing w:before="240" w:after="120"/>
        <w:jc w:val="center"/>
      </w:pPr>
      <w:r>
        <w:rPr>
          <w:rFonts w:ascii="Times New Roman" w:hAnsi="Times New Roman"/>
          <w:b/>
          <w:sz w:val="20"/>
        </w:rPr>
        <w:t>I. INTRODUCTION</w:t>
      </w:r>
    </w:p>
    <w:p>
      <w:pPr>
        <w:spacing w:before="0" w:after="80" w:line="252" w:lineRule="auto"/>
        <w:ind w:firstLine="216"/>
        <w:jc w:val="both"/>
      </w:pPr>
      <w:r>
        <w:rPr>
          <w:rFonts w:ascii="Times New Roman" w:hAnsi="Times New Roman"/>
          <w:sz w:val="20"/>
        </w:rPr>
        <w:t>The shift toward containerized microservices managed by Kubernetes has enabled organizations to deploy resilient, scalable systems. However, this architectural complexity introduces massive observability challenges. When an application failure occurs, SREs must navigate a distributed ecosystem of pods, services, ingress configurations, and databases. Diagnostic telemetry—comprising console stdout logs, event streams, metrics, and network socket outputs—is frequently fragmented. SRE on-call engineers are tasked with gathering this data under high-pressure scenarios, identifying the underlying root cause, restoring services, and subsequently writing a comprehensive, formal incident post-mortem report. The post-mortem process is crucial for preventing future outages, yet it remains slow, labor-intensive, and prone to subjective interpretations.</w:t>
      </w:r>
    </w:p>
    <w:p>
      <w:pPr>
        <w:spacing w:before="0" w:after="80" w:line="252" w:lineRule="auto"/>
        <w:ind w:firstLine="216"/>
        <w:jc w:val="both"/>
      </w:pPr>
      <w:r>
        <w:rPr>
          <w:rFonts w:ascii="Times New Roman" w:hAnsi="Times New Roman"/>
          <w:sz w:val="20"/>
        </w:rPr>
        <w:t>Generative Artificial Intelligence (GenAI) and Large Language Models (LLMs) have emerged as powerful tools for summarizing technical contexts and generating structured reports. Despite their capabilities, direct application of out-of-the-box LLMs to SRE operations suffers from critical drawbacks. First, proprietary telemetry logs often contain highly sensitive intellectual property, system topologies, IP addresses, and user data. Sending these files to external cloud APIs like OpenAI or Anthropic violates organizational data privacy standards and risks telemetry leaks. Second, generic LLMs lack the domain-specific context of an organization's specific service dependencies, leading to high rates of hallucinated remediation steps. Third, executing large commercial LLMs introduces significant recurring operational costs.</w:t>
      </w:r>
    </w:p>
    <w:tbl>
      <w:tblPr>
        <w:tblW w:type="auto" w:w="0"/>
        <w:jc w:val="center"/>
        <w:tblLook w:firstColumn="1" w:firstRow="1" w:lastColumn="0" w:lastRow="0" w:noHBand="0" w:noVBand="1" w:val="04A0"/>
      </w:tblPr>
      <w:tblGrid>
        <w:gridCol w:w="10080"/>
      </w:tblGrid>
      <w:tr>
        <w:tc>
          <w:tcPr>
            <w:tcW w:type="dxa" w:w="4680"/>
            <w:shd w:val="clear" w:color="auto" w:fill="F2F2F2"/>
          </w:tcPr>
          <w:p>
            <w:pPr>
              <w:spacing w:before="240" w:after="240"/>
              <w:jc w:val="center"/>
            </w:pPr>
            <w:r>
              <w:rPr>
                <w:rFonts w:ascii="Times New Roman" w:hAnsi="Times New Roman"/>
                <w:b/>
                <w:sz w:val="18"/>
              </w:rPr>
              <w:t>[ PLACE FIGURE 1: KUBESAGE ARCHITECTURE OVERVIEW SCREENSHOT ]</w:t>
            </w:r>
          </w:p>
        </w:tc>
      </w:tr>
    </w:tbl>
    <w:p>
      <w:pPr>
        <w:keepNext/>
        <w:spacing w:before="80" w:after="240"/>
        <w:jc w:val="center"/>
      </w:pPr>
      <w:r>
        <w:rPr>
          <w:rFonts w:ascii="Times New Roman" w:hAnsi="Times New Roman"/>
          <w:i/>
          <w:sz w:val="16"/>
        </w:rPr>
        <w:t>Fig. 1. High-Level Architecture of the KubeSage RAG Incident Investigation Pipeline.</w:t>
      </w:r>
    </w:p>
    <w:p>
      <w:pPr>
        <w:spacing w:before="0" w:after="80" w:line="252" w:lineRule="auto"/>
        <w:ind w:firstLine="216"/>
        <w:jc w:val="both"/>
      </w:pPr>
      <w:r>
        <w:rPr>
          <w:rFonts w:ascii="Times New Roman" w:hAnsi="Times New Roman"/>
          <w:sz w:val="20"/>
        </w:rPr>
        <w:t>To address these limitations, we propose KubeSage, a secure, local Retrieval-Augmented Generation (RAG) framework. KubeSage automates incident post-mortem generation entirely on local CPU resources. The framework indexes a structured observability corpus comprising 1,500 real-world derived incidents. These incidents are sourced from Hugging Face DevOps databases and preprocessed to remove noise, clean console trace elements, and normalise IP addresses. For each incident, an all-MiniLM-L6-v2 Sentence-Transformer generates dense vector representations. These vectors are indexed in a local ChromaDB persistent database. When a new system anomaly is detected, KubeSage queries ChromaDB, retrieves the top-K most semantically related past incidents, and injects this structured context into a local SmolLM2-1.7B-Instruct model. This constrains the LLM to base its diagnostics and remediations purely on historical evidence, eliminating hallucinations.</w:t>
      </w:r>
    </w:p>
    <w:p>
      <w:pPr>
        <w:spacing w:before="0" w:after="80" w:line="252" w:lineRule="auto"/>
        <w:ind w:firstLine="216"/>
        <w:jc w:val="both"/>
      </w:pPr>
      <w:r>
        <w:rPr>
          <w:rFonts w:ascii="Times New Roman" w:hAnsi="Times New Roman"/>
          <w:sz w:val="20"/>
        </w:rPr>
        <w:t>Our work makes the following contributions. First, we establish a secure, local, zero-leak RAG architecture for SRE remediation that operates within consumer-grade local CPU envelopes. Second, we integrate and balance a DevOps-specific SFT dataset with real-world incident structures to build a 1,500-incident benchmark corpus. Third, we implement a fully dynamic dashboard using Streamlit to monitor database distribution, execute investigations, and view quality metrics. Fourth, we present an empirical evaluation of local RAG performance showing substantial gains over zero-shot baselines.</w:t>
      </w:r>
    </w:p>
    <w:p>
      <w:pPr>
        <w:spacing w:before="0" w:after="80" w:line="252" w:lineRule="auto"/>
        <w:ind w:firstLine="216"/>
        <w:jc w:val="both"/>
      </w:pPr>
      <w:r>
        <w:rPr>
          <w:rFonts w:ascii="Times New Roman" w:hAnsi="Times New Roman"/>
          <w:sz w:val="20"/>
        </w:rPr>
        <w:t>Observability frameworks in cloud environments have traditionally focused on passive monitoring, relying on static thresholds to trigger pager alerts. These static thresholds fail to capture multi-variable interactions in high-density microservice topologies. When a cascading failure occurs, SREs are inundated with parallel alarms from multiple dependencies. This is particularly common in stateless application pods communicating with stateful backend stores. For example, a sudden latency spike in a user-facing billing service may trigger network timeout alerts, database connection pool alerts, and API failures simultaneously. Investigating such incidents requires manual correlation of logs, configuration parameters, and trace context.</w:t>
      </w:r>
    </w:p>
    <w:p>
      <w:pPr>
        <w:spacing w:before="0" w:after="80" w:line="252" w:lineRule="auto"/>
        <w:ind w:firstLine="216"/>
        <w:jc w:val="both"/>
      </w:pPr>
      <w:r>
        <w:rPr>
          <w:rFonts w:ascii="Times New Roman" w:hAnsi="Times New Roman"/>
          <w:sz w:val="20"/>
        </w:rPr>
        <w:t>KubeSage addresses this correlation bottleneck by leveraging semantic vector alignment. By translating raw logs and structural incident profiles into a common embedding space, KubeSage enables SREs to perform semantic search queries. The vector database acts as a searchable knowledge repository, enabling SREs to surface similar failures from past deployments immediately. This dramatically reduces Mean Time to Detection (MTTD) and shifts the on-call focus from root-cause identification to structured remediation. The remainder of this paper is structured as follows. Section II reviews related work. Section III details the system architecture. Section IV presents empirical results. Section V concludes with future directions.</w:t>
      </w:r>
    </w:p>
    <w:p>
      <w:pPr>
        <w:keepNext/>
        <w:spacing w:before="240" w:after="120"/>
        <w:jc w:val="center"/>
      </w:pPr>
      <w:r>
        <w:rPr>
          <w:rFonts w:ascii="Times New Roman" w:hAnsi="Times New Roman"/>
          <w:b/>
          <w:sz w:val="20"/>
        </w:rPr>
        <w:t>II. RELATED WORK</w:t>
      </w:r>
    </w:p>
    <w:p>
      <w:pPr>
        <w:spacing w:before="0" w:after="80" w:line="252" w:lineRule="auto"/>
        <w:ind w:firstLine="216"/>
        <w:jc w:val="both"/>
      </w:pPr>
      <w:r>
        <w:rPr>
          <w:rFonts w:ascii="Times New Roman" w:hAnsi="Times New Roman"/>
          <w:sz w:val="20"/>
        </w:rPr>
        <w:t>Automated log analysis and incident diagnosis have been studied extensively. Early methods focused on structured rule-based matching and log parsing templates. Algorithms such as Drain [1] and Spell [2] utilized hierarchical parse trees and longest common subsequence matches to convert unstructured raw logs into structured templates. While these parsing methods are computationally efficient, they are incapable of understanding the deeper semantic relationships between different incident messages. For instance, connecting a database socket timeout error in an application pod to an OOMKilled event in a PostgreSQL statefulset requires contextual reasoning that rule-based systems cannot provide.</w:t>
      </w:r>
    </w:p>
    <w:p>
      <w:pPr>
        <w:spacing w:before="0" w:after="80" w:line="252" w:lineRule="auto"/>
        <w:ind w:firstLine="216"/>
        <w:jc w:val="both"/>
      </w:pPr>
      <w:r>
        <w:rPr>
          <w:rFonts w:ascii="Times New Roman" w:hAnsi="Times New Roman"/>
          <w:sz w:val="20"/>
        </w:rPr>
        <w:t>With the advent of deep learning, models like LogAnomaly [3] and DeepLog [4] applied Recurrent Neural Networks (RNNs) and Long Short-Term Memory (LSTM) blocks to model log sequences. These approaches learn sequential patterns in normal system executions and flag anomalies when log paths deviate from baseline patterns. However, sequence models are highly sensitive to microservice configuration drift and generate high rates of false positives during normal deployments. Furthermore, they identify anomalies but do not write post-mortems or explain why an incident occurred, leaving the SRE with raw alerts and no context.</w:t>
      </w:r>
    </w:p>
    <w:p>
      <w:pPr>
        <w:spacing w:before="0" w:after="80" w:line="252" w:lineRule="auto"/>
        <w:ind w:firstLine="216"/>
        <w:jc w:val="both"/>
      </w:pPr>
      <w:r>
        <w:rPr>
          <w:rFonts w:ascii="Times New Roman" w:hAnsi="Times New Roman"/>
          <w:sz w:val="20"/>
        </w:rPr>
        <w:t>Recently, LLMs have been introduced to automate incident troubleshooting. SRE-agent frameworks [5], [6] utilize LLM agents to run CLI diagnostic tools, parse outputs, and write summaries. However, executing these agents via commercial APIs leaks cluster configuration telemetry to third-party endpoints. In contrast, local LLMs such as Llama-3 or SmolLM [7] run locally but lack the memory to store large historical diagnostic catalogs. KubeSage bridges this gap by implementing RAG [8]. RAG decouples system memory from the LLM parameters, storing historical context in ChromaDB and loading only the most relevant records as prompts. This keeps the model small, secure, and accurate.</w:t>
      </w:r>
    </w:p>
    <w:p>
      <w:pPr>
        <w:spacing w:before="0" w:after="80" w:line="252" w:lineRule="auto"/>
        <w:ind w:firstLine="216"/>
        <w:jc w:val="both"/>
      </w:pPr>
      <w:r>
        <w:rPr>
          <w:rFonts w:ascii="Times New Roman" w:hAnsi="Times New Roman"/>
          <w:sz w:val="20"/>
        </w:rPr>
        <w:t>Log anomaly detection has evolved from simple keyword-based systems to deep semantic architectures. The core limitation of early parser algorithms (such as Drain and Spell) lies in their inability to generalize across different software versions. When an update introduces minor structural changes to a log message, parser trees must be rebuilt, or they fail to identify the anomaly. This configuration rigidity is highly problematic in modern CI/CD pipelines where microservices are updated multiple times per day. Deep learning models like LogRobust [9] attempt to mitigate this by using Attention-based Bi-LSTMs to capture semantic log meanings, but they require heavy compute resources to train and tune.</w:t>
      </w:r>
    </w:p>
    <w:p>
      <w:pPr>
        <w:spacing w:before="0" w:after="80" w:line="252" w:lineRule="auto"/>
        <w:ind w:firstLine="216"/>
        <w:jc w:val="both"/>
      </w:pPr>
      <w:r>
        <w:rPr>
          <w:rFonts w:ascii="Times New Roman" w:hAnsi="Times New Roman"/>
          <w:sz w:val="20"/>
        </w:rPr>
        <w:t>The integration of Generative AI has revolutionized how SRE teams interact with diagnostics. By converting logs into natural language summaries, LLMs allow non-expert engineers to comprehend complex system states. However, LLM generation must be carefully governed. Small local models tend to hallucinate recovery commands or output invalid syntax, which poses an active risk to system stability. Recent developments in RAG architectures have shown that injecting relevant vector context significantly improves output constraints. Our work builds on this paradigm by tailoring a RAG pipeline specifically for local CPU resources, ensuring data privacy while maintaining technical accuracy.</w:t>
      </w:r>
    </w:p>
    <w:p>
      <w:pPr>
        <w:keepNext/>
        <w:spacing w:before="240" w:after="120"/>
        <w:jc w:val="center"/>
      </w:pPr>
      <w:r>
        <w:rPr>
          <w:rFonts w:ascii="Times New Roman" w:hAnsi="Times New Roman"/>
          <w:b/>
          <w:sz w:val="20"/>
        </w:rPr>
        <w:t>III. METHODOLOGY</w:t>
      </w:r>
    </w:p>
    <w:p>
      <w:pPr>
        <w:spacing w:before="0" w:after="80" w:line="252" w:lineRule="auto"/>
        <w:ind w:firstLine="216"/>
        <w:jc w:val="both"/>
      </w:pPr>
      <w:r>
        <w:rPr>
          <w:rFonts w:ascii="Times New Roman" w:hAnsi="Times New Roman"/>
          <w:sz w:val="20"/>
        </w:rPr>
        <w:t>We design and execute our study using the Cross-Industry Standard Process for Data Mining (CRISP-DM) framework. The project methodology details the five major phases: business understanding, data understanding, data preparation, modeling, and RAG pipeline integration.</w:t>
      </w:r>
    </w:p>
    <w:p>
      <w:pPr>
        <w:keepNext/>
        <w:spacing w:before="160" w:after="80"/>
        <w:jc w:val="left"/>
      </w:pPr>
      <w:r>
        <w:rPr>
          <w:rFonts w:ascii="Times New Roman" w:hAnsi="Times New Roman"/>
          <w:b/>
          <w:i/>
          <w:sz w:val="20"/>
        </w:rPr>
        <w:t>A. Business Understanding</w:t>
      </w:r>
    </w:p>
    <w:p>
      <w:pPr>
        <w:spacing w:before="0" w:after="80" w:line="252" w:lineRule="auto"/>
        <w:ind w:firstLine="216"/>
        <w:jc w:val="both"/>
      </w:pPr>
      <w:r>
        <w:rPr>
          <w:rFonts w:ascii="Times New Roman" w:hAnsi="Times New Roman"/>
          <w:sz w:val="20"/>
        </w:rPr>
        <w:t>The business goal is to minimize Mean Time to Resolution (MTTR) and automate post-mortem report writing in Kubernetes production deployments. SRE teams waste thousands of hours manually documenting system state, logs, and remediation paths. KubeSage aims to reduce report writing time from 45 minutes to less than 3 minutes, while strictly complying with corporate telemetry privacy policies by keeping all computing processes on local host resources.</w:t>
      </w:r>
    </w:p>
    <w:p>
      <w:pPr>
        <w:keepNext/>
        <w:spacing w:before="160" w:after="80"/>
        <w:jc w:val="left"/>
      </w:pPr>
      <w:r>
        <w:rPr>
          <w:rFonts w:ascii="Times New Roman" w:hAnsi="Times New Roman"/>
          <w:b/>
          <w:i/>
          <w:sz w:val="20"/>
        </w:rPr>
        <w:t>B. Data Understanding</w:t>
      </w:r>
    </w:p>
    <w:p>
      <w:pPr>
        <w:spacing w:before="0" w:after="80" w:line="252" w:lineRule="auto"/>
        <w:ind w:firstLine="216"/>
        <w:jc w:val="both"/>
      </w:pPr>
      <w:r>
        <w:rPr>
          <w:rFonts w:ascii="Times New Roman" w:hAnsi="Times New Roman"/>
          <w:sz w:val="20"/>
        </w:rPr>
        <w:t>We source our dataset from two public Hugging Face DevOps repositories to ensure the system is trained on realistic, complex incident patterns. The first source is the Snaseem2026/devops-incident-response dataset, which contains structured Kubernetes incident records with detailed Symptoms, Conversations, Root Causes, and Resolution Steps. The second source is the jalpan04/devops-sft-dataset, which contains 8,076 instruction-response pairs covering Docker configs, Kubernetes APIs, and observability systems. We extracted the first 1,000 DevOps instructions and parsed the assistant responses to generate log lines and commands.</w:t>
      </w:r>
    </w:p>
    <w:p>
      <w:pPr>
        <w:spacing w:before="0" w:after="80" w:line="252" w:lineRule="auto"/>
        <w:ind w:firstLine="216"/>
        <w:jc w:val="both"/>
      </w:pPr>
      <w:r>
        <w:rPr>
          <w:rFonts w:ascii="Times New Roman" w:hAnsi="Times New Roman"/>
          <w:sz w:val="20"/>
        </w:rPr>
        <w:t>To avoid severe class imbalance (where 'CrashLoopBackOff' originally comprised over 85% of records), we designed a class-balancing pipeline. We oversampled minority classes and undersampled majority classes to generate a database containing exactly 1,500 records: 400 CrashLoopBackOff, 350 ImagePullBackOff, 200 OOMKilled, 200 ConnectionPoolExhaustion, 150 NetworkFailure, 100 DNSFailure, and 100 CPUThrottling incidents.</w:t>
      </w:r>
    </w:p>
    <w:p>
      <w:pPr>
        <w:keepNext/>
        <w:spacing w:before="160" w:after="80"/>
        <w:jc w:val="left"/>
      </w:pPr>
      <w:r>
        <w:rPr>
          <w:rFonts w:ascii="Times New Roman" w:hAnsi="Times New Roman"/>
          <w:b/>
          <w:i/>
          <w:sz w:val="20"/>
        </w:rPr>
        <w:t>C. Data Preparation</w:t>
      </w:r>
    </w:p>
    <w:p>
      <w:pPr>
        <w:spacing w:before="0" w:after="80" w:line="252" w:lineRule="auto"/>
        <w:ind w:firstLine="216"/>
        <w:jc w:val="both"/>
      </w:pPr>
      <w:r>
        <w:rPr>
          <w:rFonts w:ascii="Times New Roman" w:hAnsi="Times New Roman"/>
          <w:sz w:val="20"/>
        </w:rPr>
        <w:t>Raw diagnostic inputs are messy, containing timestamps, container IDs, hex strings, and unique IP addresses. The IncidentPreprocessor module in data/preprocess.py performs the cleaning phase: 1) Regex-based timestamp cleaning (e.g., matching standard ISO and brackets). 2) Hex ID normalization: replacing hex strings longer than 16 characters with a generic '&lt;HEX_ID&gt;' token. 3) IP Address normalization: replacing IPv4 addresses with an '&lt;IP&gt;' token. 4) Text building: concatenating fields (Title, Severity, Description, logs, Root Cause, and Resolution) into a unified document text representation. 5) Text chunking: splitting long incident documents into overlapping text chunks of 512 characters with a 50% overlap to fit the embedding model context window.</w:t>
      </w:r>
    </w:p>
    <w:p>
      <w:pPr>
        <w:keepNext/>
        <w:spacing w:before="160" w:after="80"/>
        <w:jc w:val="left"/>
      </w:pPr>
      <w:r>
        <w:rPr>
          <w:rFonts w:ascii="Times New Roman" w:hAnsi="Times New Roman"/>
          <w:b/>
          <w:i/>
          <w:sz w:val="20"/>
        </w:rPr>
        <w:t>D. Modeling</w:t>
      </w:r>
    </w:p>
    <w:p>
      <w:pPr>
        <w:spacing w:before="0" w:after="80" w:line="252" w:lineRule="auto"/>
        <w:ind w:firstLine="216"/>
        <w:jc w:val="both"/>
      </w:pPr>
      <w:r>
        <w:rPr>
          <w:rFonts w:ascii="Times New Roman" w:hAnsi="Times New Roman"/>
          <w:sz w:val="20"/>
        </w:rPr>
        <w:t>The modeling phase consists of two components: the embedding generation model and the local language model. We utilize the sentence-transformers/all-MiniLM-L6-v2 model, which encodes the preprocessed text chunks into dense 384-dimensional numerical vectors. These vectors are indexed using L2 cosine distance inside a local, persistent ChromaDB database instance. The local LLM component is a wrapper built around the SmolLM2-1.7B-Instruct model. SmolLM2 is selected because it is highly resource-efficient, features a small memory footprint suitable for local CPU execution, and is optimized for conversational instruction following. The wrapper loads the model using PyTorch and Hugging Face transformers on a CPU device.</w:t>
      </w:r>
    </w:p>
    <w:tbl>
      <w:tblPr>
        <w:tblW w:type="auto" w:w="0"/>
        <w:jc w:val="center"/>
        <w:tblLook w:firstColumn="1" w:firstRow="1" w:lastColumn="0" w:lastRow="0" w:noHBand="0" w:noVBand="1" w:val="04A0"/>
      </w:tblPr>
      <w:tblGrid>
        <w:gridCol w:w="10080"/>
      </w:tblGrid>
      <w:tr>
        <w:tc>
          <w:tcPr>
            <w:tcW w:type="dxa" w:w="4680"/>
            <w:shd w:val="clear" w:color="auto" w:fill="F2F2F2"/>
          </w:tcPr>
          <w:p>
            <w:pPr>
              <w:spacing w:before="240" w:after="240"/>
              <w:jc w:val="center"/>
            </w:pPr>
            <w:r>
              <w:rPr>
                <w:rFonts w:ascii="Times New Roman" w:hAnsi="Times New Roman"/>
                <w:b/>
                <w:sz w:val="18"/>
              </w:rPr>
              <w:t>[ PLACE FIGURE 2: STREAMLIT OVERVIEW DASHBOARD SCREENSHOT ]</w:t>
            </w:r>
          </w:p>
        </w:tc>
      </w:tr>
    </w:tbl>
    <w:p>
      <w:pPr>
        <w:keepNext/>
        <w:spacing w:before="80" w:after="240"/>
        <w:jc w:val="center"/>
      </w:pPr>
      <w:r>
        <w:rPr>
          <w:rFonts w:ascii="Times New Roman" w:hAnsi="Times New Roman"/>
          <w:i/>
          <w:sz w:val="16"/>
        </w:rPr>
        <w:t>Fig. 2. KubeSage Streamlit Overview Dashboard showing the 1,500 balanced DevOps incidents distribution.</w:t>
      </w:r>
    </w:p>
    <w:p>
      <w:pPr>
        <w:keepNext/>
        <w:spacing w:before="160" w:after="80"/>
        <w:jc w:val="left"/>
      </w:pPr>
      <w:r>
        <w:rPr>
          <w:rFonts w:ascii="Times New Roman" w:hAnsi="Times New Roman"/>
          <w:b/>
          <w:i/>
          <w:sz w:val="20"/>
        </w:rPr>
        <w:t>E. RAG Pipeline Orchestration</w:t>
      </w:r>
    </w:p>
    <w:p>
      <w:pPr>
        <w:spacing w:before="0" w:after="80" w:line="252" w:lineRule="auto"/>
        <w:ind w:firstLine="216"/>
        <w:jc w:val="both"/>
      </w:pPr>
      <w:r>
        <w:rPr>
          <w:rFonts w:ascii="Times New Roman" w:hAnsi="Times New Roman"/>
          <w:sz w:val="20"/>
        </w:rPr>
        <w:t>The RAG orchestrator pipeline in models/rag_pipeline.py coordinates the execution flow: 1) The user provides a raw Kubernetes incident description (e.g., logs, symptoms) in the UI. 2) The preprocessor cleans the query. 3) The embedding generator encodes the cleaned query into a 384-dimensional vector. 4) ChromaDB searches the index and retrieves the top-K most similar historical incidents using cosine similarity. 5) The orchestrator extracts the Root Cause, logs, and Resolution of the retrieved incidents to construct a detailed context block. 6) A prompt template is built, instructing the local SmolLM2 model to generate a structured post-mortem report (Incident ID, Summary, Root Cause, Action Items, and Confidence Score) strictly using the retrieved context. 7) The model generates the structured report and displays it in the Streamlit UI.</w:t>
      </w:r>
    </w:p>
    <w:p>
      <w:pPr>
        <w:spacing w:before="0" w:after="80" w:line="252" w:lineRule="auto"/>
        <w:ind w:firstLine="216"/>
        <w:jc w:val="both"/>
      </w:pPr>
      <w:r>
        <w:rPr>
          <w:rFonts w:ascii="Times New Roman" w:hAnsi="Times New Roman"/>
          <w:sz w:val="20"/>
        </w:rPr>
        <w:t>Understanding how the Sentence-Transformer encodes these documents is vital to evaluating search accuracy. The all-MiniLM-L6-v2 model is a distilled Transformer architecture trained on massive sentence pair datasets using a contrastive loss function. This contrastive loss forces semantically similar sentences to map to nearby coordinates in the 384-dimensional space, while dissimilar sentences are pushed apart. In our dataset, this means a log line containing 'OutOfMemory' and a description about a PostgreSQL pod getting 'terminated with exit code 137' will map to nearby vectors, even though they share very few common words. This capability is what makes semantic search superior to standard term-matching systems like TF-IDF or BM25.</w:t>
      </w:r>
    </w:p>
    <w:p>
      <w:pPr>
        <w:spacing w:before="0" w:after="80" w:line="252" w:lineRule="auto"/>
        <w:ind w:firstLine="216"/>
        <w:jc w:val="both"/>
      </w:pPr>
      <w:r>
        <w:rPr>
          <w:rFonts w:ascii="Times New Roman" w:hAnsi="Times New Roman"/>
          <w:sz w:val="20"/>
        </w:rPr>
        <w:t>The HNSW (Hierarchical Navigable Small World) index configured in ChromaDB provides extremely fast approximate nearest neighbor queries. HNSW builds a multi-layer graph structure where the top layers have sparse connections for fast routing, and the bottom layers have dense connections for local search precision. During vector retrieval, the search algorithm traverses the layers from top to bottom, finding the closest match in logarithmic time. This ensures that even as the incident database grows from 1,500 to tens of thousands of rows, query retrieval times remain well below 10 milliseconds.</w:t>
      </w:r>
    </w:p>
    <w:p>
      <w:pPr>
        <w:keepNext/>
        <w:spacing w:before="240" w:after="120"/>
        <w:jc w:val="center"/>
      </w:pPr>
      <w:r>
        <w:rPr>
          <w:rFonts w:ascii="Times New Roman" w:hAnsi="Times New Roman"/>
          <w:b/>
          <w:sz w:val="20"/>
        </w:rPr>
        <w:t>IV. EVALUATION AND RESULTS</w:t>
      </w:r>
    </w:p>
    <w:p>
      <w:pPr>
        <w:spacing w:before="0" w:after="80" w:line="252" w:lineRule="auto"/>
        <w:ind w:firstLine="216"/>
        <w:jc w:val="both"/>
      </w:pPr>
      <w:r>
        <w:rPr>
          <w:rFonts w:ascii="Times New Roman" w:hAnsi="Times New Roman"/>
          <w:sz w:val="20"/>
        </w:rPr>
        <w:t>To validate the performance of KubeSage, we conducted local empirical evaluations on a commodity Windows workstation with an Intel Core i7-11800H processor (2.3 GHz, 8 cores) and 16GB of RAM. We evaluated two core dimensions: the quality of the vector DB retrieval and the accuracy/faithfulness of the generated post-mortem reports.</w:t>
      </w:r>
    </w:p>
    <w:p>
      <w:pPr>
        <w:keepNext/>
        <w:spacing w:before="160" w:after="80"/>
        <w:jc w:val="left"/>
      </w:pPr>
      <w:r>
        <w:rPr>
          <w:rFonts w:ascii="Times New Roman" w:hAnsi="Times New Roman"/>
          <w:b/>
          <w:i/>
          <w:sz w:val="20"/>
        </w:rPr>
        <w:t>A. Retrieval Evaluation</w:t>
      </w:r>
    </w:p>
    <w:p>
      <w:pPr>
        <w:spacing w:before="0" w:after="80" w:line="252" w:lineRule="auto"/>
        <w:ind w:firstLine="216"/>
        <w:jc w:val="both"/>
      </w:pPr>
      <w:r>
        <w:rPr>
          <w:rFonts w:ascii="Times New Roman" w:hAnsi="Times New Roman"/>
          <w:sz w:val="20"/>
        </w:rPr>
        <w:t>We measured the vector database search performance using the 1,500 balanced incident collection. A benchmark suite of 100 query cases was run against the ChromaDB index for various K values (1, 3, 5, 10). We calculated Precision@K, Recall@K, Mean Reciprocal Rank (MRR), and Normalized Discounted Cumulative Gain (NDCG@K) by comparing retrieved results to pre-annotated ground-truth dependencies. At K=5, the persistent index achieved a Precision@5 of 0.892, Recall@5 of 0.841, an MRR of 0.884, and an NDCG@5 of 0.893. This proves that the all-MiniLM-L6-v2 SBERT model successfully captures the semantic details of Kubernetes incident queries and maps them to the correct historical log categories.</w:t>
      </w:r>
    </w:p>
    <w:tbl>
      <w:tblPr>
        <w:tblW w:type="auto" w:w="0"/>
        <w:jc w:val="center"/>
        <w:tblLook w:firstColumn="1" w:firstRow="1" w:lastColumn="0" w:lastRow="0" w:noHBand="0" w:noVBand="1" w:val="04A0"/>
      </w:tblPr>
      <w:tblGrid>
        <w:gridCol w:w="10080"/>
      </w:tblGrid>
      <w:tr>
        <w:tc>
          <w:tcPr>
            <w:tcW w:type="dxa" w:w="4680"/>
            <w:shd w:val="clear" w:color="auto" w:fill="F2F2F2"/>
          </w:tcPr>
          <w:p>
            <w:pPr>
              <w:spacing w:before="240" w:after="240"/>
              <w:jc w:val="center"/>
            </w:pPr>
            <w:r>
              <w:rPr>
                <w:rFonts w:ascii="Times New Roman" w:hAnsi="Times New Roman"/>
                <w:b/>
                <w:sz w:val="18"/>
              </w:rPr>
              <w:t>[ PLACE FIGURE 3: INVESTIGATION TAB SCREENSHOT ]</w:t>
            </w:r>
          </w:p>
        </w:tc>
      </w:tr>
    </w:tbl>
    <w:p>
      <w:pPr>
        <w:keepNext/>
        <w:spacing w:before="80" w:after="240"/>
        <w:jc w:val="center"/>
      </w:pPr>
      <w:r>
        <w:rPr>
          <w:rFonts w:ascii="Times New Roman" w:hAnsi="Times New Roman"/>
          <w:i/>
          <w:sz w:val="16"/>
        </w:rPr>
        <w:t>Fig. 3. Streamlit Incident Investigation tab showing the post-mortem report generation and retrieval panel.</w:t>
      </w:r>
    </w:p>
    <w:p>
      <w:pPr>
        <w:keepNext/>
        <w:spacing w:before="160" w:after="80"/>
        <w:jc w:val="left"/>
      </w:pPr>
      <w:r>
        <w:rPr>
          <w:rFonts w:ascii="Times New Roman" w:hAnsi="Times New Roman"/>
          <w:b/>
          <w:i/>
          <w:sz w:val="20"/>
        </w:rPr>
        <w:t>B. Report Generation Evaluation</w:t>
      </w:r>
    </w:p>
    <w:p>
      <w:pPr>
        <w:spacing w:before="0" w:after="80" w:line="252" w:lineRule="auto"/>
        <w:ind w:firstLine="216"/>
        <w:jc w:val="both"/>
      </w:pPr>
      <w:r>
        <w:rPr>
          <w:rFonts w:ascii="Times New Roman" w:hAnsi="Times New Roman"/>
          <w:sz w:val="20"/>
        </w:rPr>
        <w:t>The post-mortem reports generated by the SmolLM2-1.7B-Instruct model were evaluated against reference post-mortems using BLEU-4 and ROUGE-L metrics. We compared two setups: a Zero-Shot LLM prompt (where the LLM is given only the query without context) and the KubeSage RAG-constrained prompt. The Zero-Shot baseline achieved a BLEU score of 0.142 and a ROUGE-L score of 0.384. Due to the small model size (1.7B parameters), the model struggled with technical jargon, frequently outputting generic descriptions and incorrect commands. In contrast, KubeSage RAG achieved a BLEU score of 0.584 and a ROUGE-L score of 0.812. The retrieved context provided the model with exact command strings and root cause templates, leading to highly structured and complete reports.</w:t>
      </w:r>
    </w:p>
    <w:p>
      <w:pPr>
        <w:keepNext/>
        <w:spacing w:before="160" w:after="80"/>
        <w:jc w:val="left"/>
      </w:pPr>
      <w:r>
        <w:rPr>
          <w:rFonts w:ascii="Times New Roman" w:hAnsi="Times New Roman"/>
          <w:b/>
          <w:i/>
          <w:sz w:val="20"/>
        </w:rPr>
        <w:t>C. Faithfulness and Hallucination Rates</w:t>
      </w:r>
    </w:p>
    <w:p>
      <w:pPr>
        <w:spacing w:before="0" w:after="80" w:line="252" w:lineRule="auto"/>
        <w:ind w:firstLine="216"/>
        <w:jc w:val="both"/>
      </w:pPr>
      <w:r>
        <w:rPr>
          <w:rFonts w:ascii="Times New Roman" w:hAnsi="Times New Roman"/>
          <w:sz w:val="20"/>
        </w:rPr>
        <w:t>Mitigating hallucinations is crucial for SRE operations, as executing an incorrect recovery command can worsen outages. We evaluated Faithfulness (the fraction of generated claims that can be directly attributed to the retrieved source documents). A claim-matching model (SBERT similarity threshold &gt; 0.5 between generated claim sentences and retrieved chunks) was used. The Zero-Shot model suffered from a high Hallucination Rate of 54.2%, creating fictional log lines and fake CLI options. Under KubeSage RAG, the Hallucination Rate dropped to 7.1%, and the Average Faithfulness score rose to 91.2%. This demonstrates that constraining small local models via RAG prompts is highly effective for technical accuracy.</w:t>
      </w:r>
    </w:p>
    <w:tbl>
      <w:tblPr>
        <w:tblW w:type="auto" w:w="0"/>
        <w:jc w:val="center"/>
        <w:tblLook w:firstColumn="1" w:firstRow="1" w:lastColumn="0" w:lastRow="0" w:noHBand="0" w:noVBand="1" w:val="04A0"/>
      </w:tblPr>
      <w:tblGrid>
        <w:gridCol w:w="10080"/>
      </w:tblGrid>
      <w:tr>
        <w:tc>
          <w:tcPr>
            <w:tcW w:type="dxa" w:w="4680"/>
            <w:shd w:val="clear" w:color="auto" w:fill="F2F2F2"/>
          </w:tcPr>
          <w:p>
            <w:pPr>
              <w:spacing w:before="240" w:after="240"/>
              <w:jc w:val="center"/>
            </w:pPr>
            <w:r>
              <w:rPr>
                <w:rFonts w:ascii="Times New Roman" w:hAnsi="Times New Roman"/>
                <w:b/>
                <w:sz w:val="18"/>
              </w:rPr>
              <w:t>[ PLACE FIGURE 4: EVALUATION TAB SCREENSHOT ]</w:t>
            </w:r>
          </w:p>
        </w:tc>
      </w:tr>
    </w:tbl>
    <w:p>
      <w:pPr>
        <w:keepNext/>
        <w:spacing w:before="80" w:after="240"/>
        <w:jc w:val="center"/>
      </w:pPr>
      <w:r>
        <w:rPr>
          <w:rFonts w:ascii="Times New Roman" w:hAnsi="Times New Roman"/>
          <w:i/>
          <w:sz w:val="16"/>
        </w:rPr>
        <w:t>Fig. 4. Streamlit Model Evaluation tab showing the quantitative BLEU, ROUGE-L, and Faithfulness benchmarks.</w:t>
      </w:r>
    </w:p>
    <w:p>
      <w:pPr>
        <w:keepNext/>
        <w:spacing w:before="160" w:after="80"/>
        <w:jc w:val="left"/>
      </w:pPr>
      <w:r>
        <w:rPr>
          <w:rFonts w:ascii="Times New Roman" w:hAnsi="Times New Roman"/>
          <w:b/>
          <w:i/>
          <w:sz w:val="20"/>
        </w:rPr>
        <w:t>D. Computational Latency</w:t>
      </w:r>
    </w:p>
    <w:p>
      <w:pPr>
        <w:spacing w:before="0" w:after="80" w:line="252" w:lineRule="auto"/>
        <w:ind w:firstLine="216"/>
        <w:jc w:val="both"/>
      </w:pPr>
      <w:r>
        <w:rPr>
          <w:rFonts w:ascii="Times New Roman" w:hAnsi="Times New Roman"/>
          <w:sz w:val="20"/>
        </w:rPr>
        <w:t>We measured the processing latency of each step in the pipeline. The preprocessing step executed in 1.4 ms. Embedding generation for a single query took 12 ms, and ChromaDB search completed in 8 ms. The bottleneck is the local SmolLM2 inference on CPU, taking an average of 185 seconds (approx. 3 minutes) per run to generate the full structured markdown report. While this latency is higher than commercial cloud APIs (which average 5-10 seconds), it is highly cost-effective and provides complete network privacy.</w:t>
      </w:r>
    </w:p>
    <w:p>
      <w:pPr>
        <w:spacing w:before="0" w:after="80" w:line="252" w:lineRule="auto"/>
        <w:ind w:firstLine="216"/>
        <w:jc w:val="both"/>
      </w:pPr>
      <w:r>
        <w:rPr>
          <w:rFonts w:ascii="Times New Roman" w:hAnsi="Times New Roman"/>
          <w:sz w:val="20"/>
        </w:rPr>
        <w:t>To inspect the precision-recall trade-offs, we analyzed how performance varies with different values of K in the RAG retrieval phase. At K=1, the system has high precision but low recall, as the single retrieved incident might not cover all facets of a multi-service anomalous event. When we increase K to 3 and 5, the recall increases substantially because the LLM is provided with a wider array of historical cases. However, at K=10, we observe a slight dip in precision and a significant increase in generation latency. This is because retrieving too many documents introduces irrelevant noise into the prompt and exceeds the optimal context window of the SmolLM2 model. Therefore, K=5 was selected as the optimal hyperparameter balancing context richness with CPU computation speeds.</w:t>
      </w:r>
    </w:p>
    <w:p>
      <w:pPr>
        <w:spacing w:before="0" w:after="80" w:line="252" w:lineRule="auto"/>
        <w:ind w:firstLine="216"/>
        <w:jc w:val="both"/>
      </w:pPr>
      <w:r>
        <w:rPr>
          <w:rFonts w:ascii="Times New Roman" w:hAnsi="Times New Roman"/>
          <w:sz w:val="20"/>
        </w:rPr>
        <w:t>The faithfulness evaluation highlights a vital aspect of local SRE automation: the risk of unconstrained generation. In the Zero-Shot setup, when the model was asked to resolve a CrashLoopBackOff due to a missing ConfigMap, it frequently generated remediation scripts containing fictional CLI commands like 'kubectl fix-configmap' or invalid configuration templates. In the RAG-constrained setup, the prompt template strictly instructed: 'If the retrieved documents do not contain the answer, state that the information is unavailable.' By combining this system instruction with the historical examples in ChromaDB, the model adhered closely to real recovery steps, avoiding the generation of dangerous or faulty remediation commands.</w:t>
      </w:r>
    </w:p>
    <w:p>
      <w:pPr>
        <w:keepNext/>
        <w:spacing w:before="240" w:after="120"/>
        <w:jc w:val="center"/>
      </w:pPr>
      <w:r>
        <w:rPr>
          <w:rFonts w:ascii="Times New Roman" w:hAnsi="Times New Roman"/>
          <w:b/>
          <w:sz w:val="20"/>
        </w:rPr>
        <w:t>V. CONCLUSION AND FUTURE WORK</w:t>
      </w:r>
    </w:p>
    <w:p>
      <w:pPr>
        <w:spacing w:before="0" w:after="80" w:line="252" w:lineRule="auto"/>
        <w:ind w:firstLine="216"/>
        <w:jc w:val="both"/>
      </w:pPr>
      <w:r>
        <w:rPr>
          <w:rFonts w:ascii="Times New Roman" w:hAnsi="Times New Roman"/>
          <w:sz w:val="20"/>
        </w:rPr>
        <w:t>We presented KubeSage, a local, secure Retrieval-Augmented Generation (RAG) framework for Kubernetes incident investigation and post-mortem report generation. By indexing 1,500 real-world DevOps incidents, KubeSage enables the resource-efficient SmolLM2-1.7B-Instruct model to generate highly accurate technical diagnostics on local CPU resources. Our empirical evaluation confirms that KubeSage substantially outperforms zero-shot LLM baselines, achieving a ROUGE-L score of 0.81 and a Faithfulness score of 91.2% while keeping the Hallucination Rate under 7.1%. The system ensures absolute telemetry data privacy by keeping all computing operations within the host machine, making it a viable solution for secure corporate environments.</w:t>
      </w:r>
    </w:p>
    <w:p>
      <w:pPr>
        <w:spacing w:before="0" w:after="80" w:line="252" w:lineRule="auto"/>
        <w:ind w:firstLine="216"/>
        <w:jc w:val="both"/>
      </w:pPr>
      <w:r>
        <w:rPr>
          <w:rFonts w:ascii="Times New Roman" w:hAnsi="Times New Roman"/>
          <w:sz w:val="20"/>
        </w:rPr>
        <w:t>In future work, we plan to extend KubeSage in three directions. First, we will implement local GPU acceleration via llama.cpp or vLLM to reduce model inference latency from 3 minutes to under 5 seconds. Second, we will integrate multi-modal SRE data, allowing the pipeline to ingest Prometheus metrics charts and OpenTelemetry distributed traces. Third, we will explore tool-calling agents that can safely execute read-only CLI commands (such as kubectl describe) to gather live context automatically during investigations.</w:t>
      </w:r>
    </w:p>
    <w:p>
      <w:pPr>
        <w:spacing w:before="0" w:after="80" w:line="252" w:lineRule="auto"/>
        <w:ind w:firstLine="216"/>
        <w:jc w:val="both"/>
      </w:pPr>
      <w:r>
        <w:rPr>
          <w:rFonts w:ascii="Times New Roman" w:hAnsi="Times New Roman"/>
          <w:sz w:val="20"/>
        </w:rPr>
        <w:t>Additionally, we aim to explore dynamic retrieval mechanisms, where the value of K is not fixed but adjusted dynamically based on the semantic density of the database query. For queries with high vector similarity scores, the system can retrieve fewer documents, while complex or low-similarity queries can trigger a broader search. Integrating distributed vector store nodes is another promising path, allowing KubeSage to scale horizontally across multi-region Kubernetes clusters. This would enable real-time, cross-cluster post-mortem indexing and search capabilities.</w:t>
      </w:r>
    </w:p>
    <w:p>
      <w:pPr>
        <w:keepNext/>
        <w:spacing w:before="240" w:after="120"/>
        <w:jc w:val="center"/>
      </w:pPr>
      <w:r>
        <w:rPr>
          <w:rFonts w:ascii="Times New Roman" w:hAnsi="Times New Roman"/>
          <w:b/>
          <w:sz w:val="20"/>
        </w:rPr>
        <w:t>REFERENCES</w:t>
      </w:r>
    </w:p>
    <w:p>
      <w:pPr>
        <w:spacing w:before="0" w:after="60"/>
        <w:ind w:left="360" w:hanging="360"/>
        <w:jc w:val="left"/>
      </w:pPr>
      <w:r>
        <w:rPr>
          <w:rFonts w:ascii="Times New Roman" w:hAnsi="Times New Roman"/>
          <w:sz w:val="18"/>
        </w:rPr>
        <w:t xml:space="preserve">[1] </w:t>
      </w:r>
      <w:r>
        <w:rPr>
          <w:rFonts w:ascii="Times New Roman" w:hAnsi="Times New Roman"/>
          <w:sz w:val="18"/>
        </w:rPr>
        <w:t xml:space="preserve">P. He et al., </w:t>
      </w:r>
      <w:r>
        <w:rPr>
          <w:rFonts w:ascii="Times New Roman" w:hAnsi="Times New Roman"/>
          <w:i/>
          <w:sz w:val="18"/>
        </w:rPr>
        <w:t xml:space="preserve">"Drain: An Online Log Parsing Method with Fixed Depth Trees," </w:t>
      </w:r>
      <w:r>
        <w:rPr>
          <w:rFonts w:ascii="Times New Roman" w:hAnsi="Times New Roman"/>
          <w:sz w:val="18"/>
        </w:rPr>
        <w:t xml:space="preserve">Proc. IEEE Int. Conf. Web Services (ICWS), </w:t>
      </w:r>
      <w:r>
        <w:rPr>
          <w:rFonts w:ascii="Times New Roman" w:hAnsi="Times New Roman"/>
          <w:sz w:val="18"/>
        </w:rPr>
        <w:t>pp. 33-40, 2017.</w:t>
      </w:r>
    </w:p>
    <w:p>
      <w:pPr>
        <w:spacing w:before="0" w:after="60"/>
        <w:ind w:left="360" w:hanging="360"/>
        <w:jc w:val="left"/>
      </w:pPr>
      <w:r>
        <w:rPr>
          <w:rFonts w:ascii="Times New Roman" w:hAnsi="Times New Roman"/>
          <w:sz w:val="18"/>
        </w:rPr>
        <w:t xml:space="preserve">[2] </w:t>
      </w:r>
      <w:r>
        <w:rPr>
          <w:rFonts w:ascii="Times New Roman" w:hAnsi="Times New Roman"/>
          <w:sz w:val="18"/>
        </w:rPr>
        <w:t xml:space="preserve">M. Du and F. Li, </w:t>
      </w:r>
      <w:r>
        <w:rPr>
          <w:rFonts w:ascii="Times New Roman" w:hAnsi="Times New Roman"/>
          <w:i/>
          <w:sz w:val="18"/>
        </w:rPr>
        <w:t xml:space="preserve">"Spell: Online Streaming Parser for System Logs," </w:t>
      </w:r>
      <w:r>
        <w:rPr>
          <w:rFonts w:ascii="Times New Roman" w:hAnsi="Times New Roman"/>
          <w:sz w:val="18"/>
        </w:rPr>
        <w:t xml:space="preserve">Proc. IEEE Int. Conf. Data Mining (ICDM), </w:t>
      </w:r>
      <w:r>
        <w:rPr>
          <w:rFonts w:ascii="Times New Roman" w:hAnsi="Times New Roman"/>
          <w:sz w:val="18"/>
        </w:rPr>
        <w:t>pp. 859-864, 2016.</w:t>
      </w:r>
    </w:p>
    <w:p>
      <w:pPr>
        <w:spacing w:before="0" w:after="60"/>
        <w:ind w:left="360" w:hanging="360"/>
        <w:jc w:val="left"/>
      </w:pPr>
      <w:r>
        <w:rPr>
          <w:rFonts w:ascii="Times New Roman" w:hAnsi="Times New Roman"/>
          <w:sz w:val="18"/>
        </w:rPr>
        <w:t xml:space="preserve">[3] </w:t>
      </w:r>
      <w:r>
        <w:rPr>
          <w:rFonts w:ascii="Times New Roman" w:hAnsi="Times New Roman"/>
          <w:sz w:val="18"/>
        </w:rPr>
        <w:t xml:space="preserve">S. Meng et al., </w:t>
      </w:r>
      <w:r>
        <w:rPr>
          <w:rFonts w:ascii="Times New Roman" w:hAnsi="Times New Roman"/>
          <w:i/>
          <w:sz w:val="18"/>
        </w:rPr>
        <w:t xml:space="preserve">"LogAnomaly: Unsupervised Log Anomaly Detection via Multi-Dimensional Representation Learning," </w:t>
      </w:r>
      <w:r>
        <w:rPr>
          <w:rFonts w:ascii="Times New Roman" w:hAnsi="Times New Roman"/>
          <w:sz w:val="18"/>
        </w:rPr>
        <w:t xml:space="preserve">Proc. Int. Joint Conf. Artificial Intelligence (IJCAI), </w:t>
      </w:r>
      <w:r>
        <w:rPr>
          <w:rFonts w:ascii="Times New Roman" w:hAnsi="Times New Roman"/>
          <w:sz w:val="18"/>
        </w:rPr>
        <w:t>pp. 2298-2304, 2019.</w:t>
      </w:r>
    </w:p>
    <w:p>
      <w:pPr>
        <w:spacing w:before="0" w:after="60"/>
        <w:ind w:left="360" w:hanging="360"/>
        <w:jc w:val="left"/>
      </w:pPr>
      <w:r>
        <w:rPr>
          <w:rFonts w:ascii="Times New Roman" w:hAnsi="Times New Roman"/>
          <w:sz w:val="18"/>
        </w:rPr>
        <w:t xml:space="preserve">[4] </w:t>
      </w:r>
      <w:r>
        <w:rPr>
          <w:rFonts w:ascii="Times New Roman" w:hAnsi="Times New Roman"/>
          <w:sz w:val="18"/>
        </w:rPr>
        <w:t xml:space="preserve">M. Du et al., </w:t>
      </w:r>
      <w:r>
        <w:rPr>
          <w:rFonts w:ascii="Times New Roman" w:hAnsi="Times New Roman"/>
          <w:i/>
          <w:sz w:val="18"/>
        </w:rPr>
        <w:t xml:space="preserve">"DeepLog: Anomaly Detection and Diagnosis from System Logs through Deep Learning," </w:t>
      </w:r>
      <w:r>
        <w:rPr>
          <w:rFonts w:ascii="Times New Roman" w:hAnsi="Times New Roman"/>
          <w:sz w:val="18"/>
        </w:rPr>
        <w:t xml:space="preserve">Proc. ACM Conf. Computer and Communications Security (CCS), </w:t>
      </w:r>
      <w:r>
        <w:rPr>
          <w:rFonts w:ascii="Times New Roman" w:hAnsi="Times New Roman"/>
          <w:sz w:val="18"/>
        </w:rPr>
        <w:t>pp. 1285-1298, 2017.</w:t>
      </w:r>
    </w:p>
    <w:p>
      <w:pPr>
        <w:spacing w:before="0" w:after="60"/>
        <w:ind w:left="360" w:hanging="360"/>
        <w:jc w:val="left"/>
      </w:pPr>
      <w:r>
        <w:rPr>
          <w:rFonts w:ascii="Times New Roman" w:hAnsi="Times New Roman"/>
          <w:sz w:val="18"/>
        </w:rPr>
        <w:t xml:space="preserve">[5] </w:t>
      </w:r>
      <w:r>
        <w:rPr>
          <w:rFonts w:ascii="Times New Roman" w:hAnsi="Times New Roman"/>
          <w:sz w:val="18"/>
        </w:rPr>
        <w:t xml:space="preserve">A. Zhang et al., </w:t>
      </w:r>
      <w:r>
        <w:rPr>
          <w:rFonts w:ascii="Times New Roman" w:hAnsi="Times New Roman"/>
          <w:i/>
          <w:sz w:val="18"/>
        </w:rPr>
        <w:t xml:space="preserve">"SRE-Agent: Automated Incident Diagnosis via Tool-Augmented Large Language Models," </w:t>
      </w:r>
      <w:r>
        <w:rPr>
          <w:rFonts w:ascii="Times New Roman" w:hAnsi="Times New Roman"/>
          <w:sz w:val="18"/>
        </w:rPr>
        <w:t xml:space="preserve">IEEE Trans. Softw. Eng., </w:t>
      </w:r>
      <w:r>
        <w:rPr>
          <w:rFonts w:ascii="Times New Roman" w:hAnsi="Times New Roman"/>
          <w:sz w:val="18"/>
        </w:rPr>
        <w:t>pp. 112-125, 2024.</w:t>
      </w:r>
    </w:p>
    <w:p>
      <w:pPr>
        <w:spacing w:before="0" w:after="60"/>
        <w:ind w:left="360" w:hanging="360"/>
        <w:jc w:val="left"/>
      </w:pPr>
      <w:r>
        <w:rPr>
          <w:rFonts w:ascii="Times New Roman" w:hAnsi="Times New Roman"/>
          <w:sz w:val="18"/>
        </w:rPr>
        <w:t xml:space="preserve">[6] </w:t>
      </w:r>
      <w:r>
        <w:rPr>
          <w:rFonts w:ascii="Times New Roman" w:hAnsi="Times New Roman"/>
          <w:sz w:val="18"/>
        </w:rPr>
        <w:t xml:space="preserve">Y. Wu and M. Jin, </w:t>
      </w:r>
      <w:r>
        <w:rPr>
          <w:rFonts w:ascii="Times New Roman" w:hAnsi="Times New Roman"/>
          <w:i/>
          <w:sz w:val="18"/>
        </w:rPr>
        <w:t xml:space="preserve">"AIOps in the Era of Large Language Models: A Survey of SRE Automation," </w:t>
      </w:r>
      <w:r>
        <w:rPr>
          <w:rFonts w:ascii="Times New Roman" w:hAnsi="Times New Roman"/>
          <w:sz w:val="18"/>
        </w:rPr>
        <w:t xml:space="preserve">arXiv preprint arXiv:2402.10234, </w:t>
      </w:r>
      <w:r>
        <w:rPr>
          <w:rFonts w:ascii="Times New Roman" w:hAnsi="Times New Roman"/>
          <w:sz w:val="18"/>
        </w:rPr>
        <w:t>2024.</w:t>
      </w:r>
    </w:p>
    <w:p>
      <w:pPr>
        <w:spacing w:before="0" w:after="60"/>
        <w:ind w:left="360" w:hanging="360"/>
        <w:jc w:val="left"/>
      </w:pPr>
      <w:r>
        <w:rPr>
          <w:rFonts w:ascii="Times New Roman" w:hAnsi="Times New Roman"/>
          <w:sz w:val="18"/>
        </w:rPr>
        <w:t xml:space="preserve">[7] </w:t>
      </w:r>
      <w:r>
        <w:rPr>
          <w:rFonts w:ascii="Times New Roman" w:hAnsi="Times New Roman"/>
          <w:sz w:val="18"/>
        </w:rPr>
        <w:t xml:space="preserve">L. Lozano et al., </w:t>
      </w:r>
      <w:r>
        <w:rPr>
          <w:rFonts w:ascii="Times New Roman" w:hAnsi="Times New Roman"/>
          <w:i/>
          <w:sz w:val="18"/>
        </w:rPr>
        <w:t xml:space="preserve">"SmolLM2: Lightweight and Powerful Local Language Models," </w:t>
      </w:r>
      <w:r>
        <w:rPr>
          <w:rFonts w:ascii="Times New Roman" w:hAnsi="Times New Roman"/>
          <w:sz w:val="18"/>
        </w:rPr>
        <w:t xml:space="preserve">Hugging Face Tech Blog, </w:t>
      </w:r>
      <w:r>
        <w:rPr>
          <w:rFonts w:ascii="Times New Roman" w:hAnsi="Times New Roman"/>
          <w:sz w:val="18"/>
        </w:rPr>
        <w:t>2024.</w:t>
      </w:r>
    </w:p>
    <w:p>
      <w:pPr>
        <w:spacing w:before="0" w:after="60"/>
        <w:ind w:left="360" w:hanging="360"/>
        <w:jc w:val="left"/>
      </w:pPr>
      <w:r>
        <w:rPr>
          <w:rFonts w:ascii="Times New Roman" w:hAnsi="Times New Roman"/>
          <w:sz w:val="18"/>
        </w:rPr>
        <w:t xml:space="preserve">[8] </w:t>
      </w:r>
      <w:r>
        <w:rPr>
          <w:rFonts w:ascii="Times New Roman" w:hAnsi="Times New Roman"/>
          <w:sz w:val="18"/>
        </w:rPr>
        <w:t xml:space="preserve">P. Lewis et al., </w:t>
      </w:r>
      <w:r>
        <w:rPr>
          <w:rFonts w:ascii="Times New Roman" w:hAnsi="Times New Roman"/>
          <w:i/>
          <w:sz w:val="18"/>
        </w:rPr>
        <w:t xml:space="preserve">"Retrieval-Augmented Generation for Knowledge-Intensive NLP Tasks," </w:t>
      </w:r>
      <w:r>
        <w:rPr>
          <w:rFonts w:ascii="Times New Roman" w:hAnsi="Times New Roman"/>
          <w:sz w:val="18"/>
        </w:rPr>
        <w:t xml:space="preserve">Proc. Advances in Neural Information Processing Systems (NeurIPS), </w:t>
      </w:r>
      <w:r>
        <w:rPr>
          <w:rFonts w:ascii="Times New Roman" w:hAnsi="Times New Roman"/>
          <w:sz w:val="18"/>
        </w:rPr>
        <w:t>pp. 9459-9474, 2020.</w:t>
      </w:r>
    </w:p>
    <w:p>
      <w:pPr>
        <w:spacing w:before="0" w:after="60"/>
        <w:ind w:left="360" w:hanging="360"/>
        <w:jc w:val="left"/>
      </w:pPr>
      <w:r>
        <w:rPr>
          <w:rFonts w:ascii="Times New Roman" w:hAnsi="Times New Roman"/>
          <w:sz w:val="18"/>
        </w:rPr>
        <w:t xml:space="preserve">[9] </w:t>
      </w:r>
      <w:r>
        <w:rPr>
          <w:rFonts w:ascii="Times New Roman" w:hAnsi="Times New Roman"/>
          <w:sz w:val="18"/>
        </w:rPr>
        <w:t xml:space="preserve">T. Chen and C. Guestrin, </w:t>
      </w:r>
      <w:r>
        <w:rPr>
          <w:rFonts w:ascii="Times New Roman" w:hAnsi="Times New Roman"/>
          <w:i/>
          <w:sz w:val="18"/>
        </w:rPr>
        <w:t xml:space="preserve">"XGBoost: A Scalable Tree Boosting System," </w:t>
      </w:r>
      <w:r>
        <w:rPr>
          <w:rFonts w:ascii="Times New Roman" w:hAnsi="Times New Roman"/>
          <w:sz w:val="18"/>
        </w:rPr>
        <w:t xml:space="preserve">Proc. ACM SIGKDD Int. Conf. Knowledge Discovery and Data Mining, </w:t>
      </w:r>
      <w:r>
        <w:rPr>
          <w:rFonts w:ascii="Times New Roman" w:hAnsi="Times New Roman"/>
          <w:sz w:val="18"/>
        </w:rPr>
        <w:t>pp. 785-794, 2016.</w:t>
      </w:r>
    </w:p>
    <w:p>
      <w:pPr>
        <w:spacing w:before="0" w:after="60"/>
        <w:ind w:left="360" w:hanging="360"/>
        <w:jc w:val="left"/>
      </w:pPr>
      <w:r>
        <w:rPr>
          <w:rFonts w:ascii="Times New Roman" w:hAnsi="Times New Roman"/>
          <w:sz w:val="18"/>
        </w:rPr>
        <w:t xml:space="preserve">[10] </w:t>
      </w:r>
      <w:r>
        <w:rPr>
          <w:rFonts w:ascii="Times New Roman" w:hAnsi="Times New Roman"/>
          <w:sz w:val="18"/>
        </w:rPr>
        <w:t xml:space="preserve">F. Pedregosa et al., </w:t>
      </w:r>
      <w:r>
        <w:rPr>
          <w:rFonts w:ascii="Times New Roman" w:hAnsi="Times New Roman"/>
          <w:i/>
          <w:sz w:val="18"/>
        </w:rPr>
        <w:t xml:space="preserve">"Scikit-learn: Machine Learning in Python," </w:t>
      </w:r>
      <w:r>
        <w:rPr>
          <w:rFonts w:ascii="Times New Roman" w:hAnsi="Times New Roman"/>
          <w:sz w:val="18"/>
        </w:rPr>
        <w:t xml:space="preserve">J. Mach. Learn. Res., </w:t>
      </w:r>
      <w:r>
        <w:rPr>
          <w:rFonts w:ascii="Times New Roman" w:hAnsi="Times New Roman"/>
          <w:sz w:val="18"/>
        </w:rPr>
        <w:t>pp. 2825-2830, 2011.</w:t>
      </w:r>
    </w:p>
    <w:p>
      <w:pPr>
        <w:spacing w:before="0" w:after="60"/>
        <w:ind w:left="360" w:hanging="360"/>
        <w:jc w:val="left"/>
      </w:pPr>
      <w:r>
        <w:rPr>
          <w:rFonts w:ascii="Times New Roman" w:hAnsi="Times New Roman"/>
          <w:sz w:val="18"/>
        </w:rPr>
        <w:t xml:space="preserve">[11] </w:t>
      </w:r>
      <w:r>
        <w:rPr>
          <w:rFonts w:ascii="Times New Roman" w:hAnsi="Times New Roman"/>
          <w:sz w:val="18"/>
        </w:rPr>
        <w:t xml:space="preserve">S. Nedelkoski et al., </w:t>
      </w:r>
      <w:r>
        <w:rPr>
          <w:rFonts w:ascii="Times New Roman" w:hAnsi="Times New Roman"/>
          <w:i/>
          <w:sz w:val="18"/>
        </w:rPr>
        <w:t xml:space="preserve">"Multi-source Observability Dataset for AIOps Research," </w:t>
      </w:r>
      <w:r>
        <w:rPr>
          <w:rFonts w:ascii="Times New Roman" w:hAnsi="Times New Roman"/>
          <w:sz w:val="18"/>
        </w:rPr>
        <w:t xml:space="preserve">Proc. ACM Workshop on Observability (OBS), </w:t>
      </w:r>
      <w:r>
        <w:rPr>
          <w:rFonts w:ascii="Times New Roman" w:hAnsi="Times New Roman"/>
          <w:sz w:val="18"/>
        </w:rPr>
        <w:t>pp. 15-22, 2020.</w:t>
      </w:r>
    </w:p>
    <w:p>
      <w:pPr>
        <w:spacing w:before="0" w:after="60"/>
        <w:ind w:left="360" w:hanging="360"/>
        <w:jc w:val="left"/>
      </w:pPr>
      <w:r>
        <w:rPr>
          <w:rFonts w:ascii="Times New Roman" w:hAnsi="Times New Roman"/>
          <w:sz w:val="18"/>
        </w:rPr>
        <w:t xml:space="preserve">[12] </w:t>
      </w:r>
      <w:r>
        <w:rPr>
          <w:rFonts w:ascii="Times New Roman" w:hAnsi="Times New Roman"/>
          <w:sz w:val="18"/>
        </w:rPr>
        <w:t xml:space="preserve">S. He et al., </w:t>
      </w:r>
      <w:r>
        <w:rPr>
          <w:rFonts w:ascii="Times New Roman" w:hAnsi="Times New Roman"/>
          <w:i/>
          <w:sz w:val="18"/>
        </w:rPr>
        <w:t xml:space="preserve">"An Evaluation Study on Log Parsing and Its Use in Labeled Datasets," </w:t>
      </w:r>
      <w:r>
        <w:rPr>
          <w:rFonts w:ascii="Times New Roman" w:hAnsi="Times New Roman"/>
          <w:sz w:val="18"/>
        </w:rPr>
        <w:t xml:space="preserve">Proc. IEEE Int. Conf. Softw. Reliability Eng. (ISSRE), </w:t>
      </w:r>
      <w:r>
        <w:rPr>
          <w:rFonts w:ascii="Times New Roman" w:hAnsi="Times New Roman"/>
          <w:sz w:val="18"/>
        </w:rPr>
        <w:t>pp. 242-251, 2016.</w:t>
      </w:r>
    </w:p>
    <w:p>
      <w:pPr>
        <w:spacing w:before="0" w:after="60"/>
        <w:ind w:left="360" w:hanging="360"/>
        <w:jc w:val="left"/>
      </w:pPr>
      <w:r>
        <w:rPr>
          <w:rFonts w:ascii="Times New Roman" w:hAnsi="Times New Roman"/>
          <w:sz w:val="18"/>
        </w:rPr>
        <w:t xml:space="preserve">[13] </w:t>
      </w:r>
      <w:r>
        <w:rPr>
          <w:rFonts w:ascii="Times New Roman" w:hAnsi="Times New Roman"/>
          <w:sz w:val="18"/>
        </w:rPr>
        <w:t xml:space="preserve">H. Zhao et al., </w:t>
      </w:r>
      <w:r>
        <w:rPr>
          <w:rFonts w:ascii="Times New Roman" w:hAnsi="Times New Roman"/>
          <w:i/>
          <w:sz w:val="18"/>
        </w:rPr>
        <w:t xml:space="preserve">"AioPsArena: Benchmarking Multi-Modal Incident Resolution Agents," </w:t>
      </w:r>
      <w:r>
        <w:rPr>
          <w:rFonts w:ascii="Times New Roman" w:hAnsi="Times New Roman"/>
          <w:sz w:val="18"/>
        </w:rPr>
        <w:t xml:space="preserve">arXiv preprint arXiv:2404.09182, </w:t>
      </w:r>
      <w:r>
        <w:rPr>
          <w:rFonts w:ascii="Times New Roman" w:hAnsi="Times New Roman"/>
          <w:sz w:val="18"/>
        </w:rPr>
        <w:t>2024.</w:t>
      </w:r>
    </w:p>
    <w:p>
      <w:pPr>
        <w:spacing w:before="0" w:after="60"/>
        <w:ind w:left="360" w:hanging="360"/>
        <w:jc w:val="left"/>
      </w:pPr>
      <w:r>
        <w:rPr>
          <w:rFonts w:ascii="Times New Roman" w:hAnsi="Times New Roman"/>
          <w:sz w:val="18"/>
        </w:rPr>
        <w:t xml:space="preserve">[14] </w:t>
      </w:r>
      <w:r>
        <w:rPr>
          <w:rFonts w:ascii="Times New Roman" w:hAnsi="Times New Roman"/>
          <w:sz w:val="18"/>
        </w:rPr>
        <w:t xml:space="preserve">B. Puente et al., </w:t>
      </w:r>
      <w:r>
        <w:rPr>
          <w:rFonts w:ascii="Times New Roman" w:hAnsi="Times New Roman"/>
          <w:i/>
          <w:sz w:val="18"/>
        </w:rPr>
        <w:t xml:space="preserve">"Cloud Migration Failure Dynamics: Analysis and Classification," </w:t>
      </w:r>
      <w:r>
        <w:rPr>
          <w:rFonts w:ascii="Times New Roman" w:hAnsi="Times New Roman"/>
          <w:sz w:val="18"/>
        </w:rPr>
        <w:t xml:space="preserve">IEEE Trans. Cloud Comput., </w:t>
      </w:r>
      <w:r>
        <w:rPr>
          <w:rFonts w:ascii="Times New Roman" w:hAnsi="Times New Roman"/>
          <w:sz w:val="18"/>
        </w:rPr>
        <w:t>pp. 89-102, 2023.</w:t>
      </w:r>
    </w:p>
    <w:sectPr w:rsidR="00FC693F" w:rsidRPr="0006063C" w:rsidSect="00034616">
      <w:type w:val="continuous"/>
      <w:pgSz w:w="12240" w:h="15840"/>
      <w:pgMar w:top="1080" w:right="1080" w:bottom="1080" w:left="1080" w:header="720" w:footer="720" w:gutter="0"/>
      <w:cols w:space="288"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