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0"/>
          <w:szCs w:val="40"/>
        </w:rPr>
        <w:t xml:space="preserve">Lloyds Bank Gem API Integration</w:t>
      </w:r>
    </w:p>
    <w:p>
      <w:pPr>
        <w:spacing w:after="200"/>
      </w:pPr>
      <w:r>
        <w:rPr>
          <w:i/>
          <w:iCs/>
          <w:color w:val="2E74B5"/>
          <w:sz w:val="24"/>
          <w:szCs w:val="24"/>
        </w:rPr>
        <w:t xml:space="preserve">Pre-Go-Live TODO List — Certificates, Config &amp; Code Placeholders</w:t>
      </w:r>
    </w:p>
    <w:p>
      <w:pPr>
        <w:pBdr>
          <w:bottom w:val="single" w:color="BFBFBF" w:sz="4" w:space="6"/>
        </w:pBdr>
        <w:spacing w:after="60"/>
      </w:pPr>
      <w:r>
        <w:rPr>
          <w:b/>
          <w:bCs/>
          <w:color w:val="595959"/>
          <w:sz w:val="19"/>
          <w:szCs w:val="19"/>
        </w:rPr>
        <w:t xml:space="preserve">Project: </w:t>
      </w:r>
      <w:r>
        <w:rPr>
          <w:color w:val="595959"/>
          <w:sz w:val="19"/>
          <w:szCs w:val="19"/>
        </w:rPr>
        <w:t xml:space="preserve">LloydsIntegration solution (Api + Lloyds class library)</w:t>
      </w:r>
    </w:p>
    <w:p>
      <w:pPr>
        <w:spacing w:after="260"/>
      </w:pPr>
      <w:r>
        <w:rPr>
          <w:b/>
          <w:bCs/>
          <w:color w:val="595959"/>
          <w:sz w:val="19"/>
          <w:szCs w:val="19"/>
        </w:rPr>
        <w:t xml:space="preserve">Status: </w:t>
      </w:r>
      <w:r>
        <w:rPr>
          <w:color w:val="595959"/>
          <w:sz w:val="19"/>
          <w:szCs w:val="19"/>
        </w:rPr>
        <w:t xml:space="preserve">Builds and runs end-to-end with dummy certificates and placeholder credentials. Nothing below blocks development, but every item must be resolved before this can call the real Lloyds gateway.</w:t>
      </w:r>
    </w:p>
    <w:p>
      <w:pPr>
        <w:spacing w:after="160" w:line="300"/>
      </w:pPr>
      <w:r>
        <w:rPr>
          <w:sz w:val="21"/>
          <w:szCs w:val="21"/>
        </w:rPr>
        <w:t xml:space="preserve">The items below are every TODO comment and placeholder value currently in the codebase, grouped by priority. Each row/bullet links back to the exact file and line so whoever picks it up can go straight there.</w:t>
      </w:r>
    </w:p>
    <w:p>
      <w:pPr>
        <w:pStyle w:val="Heading1"/>
        <w:pBdr>
          <w:bottom w:val="single" w:color="1F3864" w:sz="6" w:space="4"/>
        </w:pBdr>
        <w:spacing w:after="160" w:before="300"/>
      </w:pPr>
      <w:r>
        <w:rPr>
          <w:b/>
          <w:bCs/>
          <w:color w:val="1F3864"/>
          <w:sz w:val="30"/>
          <w:szCs w:val="30"/>
        </w:rPr>
        <w:t xml:space="preserve">Priority Legend</w:t>
      </w:r>
    </w:p>
    <w:p>
      <w:pPr>
        <w:spacing w:after="240"/>
      </w:pPr>
      <w:r>
        <w:rPr>
          <w:b/>
          <w:bCs/>
          <w:color w:val="FFFFFF"/>
          <w:sz w:val="16"/>
          <w:szCs w:val="16"/>
          <w:shd w:fill="C0392B" w:val="clear"/>
        </w:rPr>
        <w:t xml:space="preserve">  BLOCKER  </w:t>
      </w:r>
      <w:r>
        <w:rPr>
          <w:sz w:val="19"/>
          <w:szCs w:val="19"/>
        </w:rPr>
        <w:t xml:space="preserve">   nothing works against real Lloyds without this      </w:t>
      </w:r>
      <w:r>
        <w:rPr>
          <w:b/>
          <w:bCs/>
          <w:color w:val="FFFFFF"/>
          <w:sz w:val="16"/>
          <w:szCs w:val="16"/>
          <w:shd w:fill="B7791F" w:val="clear"/>
        </w:rPr>
        <w:t xml:space="preserve">  CONFIRM  </w:t>
      </w:r>
      <w:r>
        <w:rPr>
          <w:sz w:val="19"/>
          <w:szCs w:val="19"/>
        </w:rPr>
        <w:t xml:space="preserve">   needed, but our best guess may already be right      </w:t>
      </w:r>
      <w:r>
        <w:rPr>
          <w:b/>
          <w:bCs/>
          <w:color w:val="FFFFFF"/>
          <w:sz w:val="16"/>
          <w:szCs w:val="16"/>
          <w:shd w:fill="4C6B8A" w:val="clear"/>
        </w:rPr>
        <w:t xml:space="preserve">  LOW  </w:t>
      </w:r>
      <w:r>
        <w:rPr>
          <w:sz w:val="19"/>
          <w:szCs w:val="19"/>
        </w:rPr>
        <w:t xml:space="preserve">   only revisit if a real response doesn't match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6"/>
          <w:szCs w:val="26"/>
        </w:rPr>
        <w:t xml:space="preserve">1.  </w:t>
      </w:r>
      <w:r>
        <w:rPr>
          <w:b/>
          <w:bCs/>
          <w:color w:val="1F3864"/>
          <w:sz w:val="26"/>
          <w:szCs w:val="26"/>
        </w:rPr>
        <w:t xml:space="preserve">Certificates  </w:t>
      </w:r>
    </w:p>
    <w:p>
      <w:pPr>
        <w:spacing w:after="140"/>
      </w:pPr>
      <w:r>
        <w:rPr>
          <w:b/>
          <w:bCs/>
          <w:color w:val="FFFFFF"/>
          <w:sz w:val="16"/>
          <w:szCs w:val="16"/>
          <w:shd w:fill="C0392B" w:val="clear"/>
        </w:rPr>
        <w:t xml:space="preserve">  BLOCKER  </w:t>
      </w:r>
    </w:p>
    <w:p>
      <w:pPr>
        <w:spacing w:after="160" w:line="300"/>
      </w:pPr>
      <w:r>
        <w:rPr>
          <w:sz w:val="21"/>
          <w:szCs w:val="21"/>
        </w:rPr>
        <w:t xml:space="preserve">Nothing reaches Lloyds without these. Full instructions are in Certificates/README.md.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3089"/>
        <w:gridCol w:w="3089"/>
      </w:tblGrid>
      <w:tr>
        <w:trPr>
          <w:tblHeader/>
        </w:trPr>
        <w:tc>
          <w:tcPr>
            <w:tcW w:type="dxa" w:w="3182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089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Placeholder now</w:t>
            </w:r>
          </w:p>
        </w:tc>
        <w:tc>
          <w:tcPr>
            <w:tcW w:type="dxa" w:w="3089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Replace with</w:t>
            </w:r>
          </w:p>
        </w:tc>
      </w:tr>
      <w:tr>
        <w:tc>
          <w:tcPr>
            <w:tcW w:type="dxa" w:w="318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E3A26"/>
                <w:sz w:val="20"/>
                <w:szCs w:val="20"/>
              </w:rPr>
              <w:t xml:space="preserve">Certificates/dummy-tls-cert.pfx</w:t>
            </w:r>
          </w:p>
        </w:tc>
        <w:tc>
          <w:tcPr>
            <w:tcW w:type="dxa" w:w="3089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Self-signed, CN cs-api-DUMMY-PRD.lloydsbanking.com</w:t>
            </w:r>
          </w:p>
        </w:tc>
        <w:tc>
          <w:tcPr>
            <w:tcW w:type="dxa" w:w="3089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Real Lloyds-issued TLS (mutual TLS transport) certificate</w:t>
            </w:r>
          </w:p>
        </w:tc>
      </w:tr>
      <w:tr>
        <w:tc>
          <w:tcPr>
            <w:tcW w:type="dxa" w:w="3182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E3A26"/>
                <w:sz w:val="20"/>
                <w:szCs w:val="20"/>
              </w:rPr>
              <w:t xml:space="preserve">Certificates/dummy-mls-cert.pfx</w:t>
            </w:r>
          </w:p>
        </w:tc>
        <w:tc>
          <w:tcPr>
            <w:tcW w:type="dxa" w:w="3089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Self-signed, CN ms-api-DUMMY.lloydsbanking.com</w:t>
            </w:r>
          </w:p>
        </w:tc>
        <w:tc>
          <w:tcPr>
            <w:tcW w:type="dxa" w:w="3089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Real Lloyds-issued MLS (message signing / JWS) certificate</w:t>
            </w:r>
          </w:p>
        </w:tc>
      </w:tr>
    </w:tbl>
    <w:p>
      <w:pPr>
        <w:spacing w:after="0" w:before="140"/>
      </w:pPr>
      <w:r>
        <w:rPr>
          <w:i/>
          <w:iCs/>
          <w:color w:val="595959"/>
          <w:sz w:val="19"/>
          <w:szCs w:val="19"/>
        </w:rPr>
        <w:t xml:space="preserve">Both come from submitting your own CSRs (RSA 2048) to Lloyds' Onboarding &amp; Servicing Team. Keep the private keys yourselves — never send them to Lloyds.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6"/>
          <w:szCs w:val="26"/>
        </w:rPr>
        <w:t xml:space="preserve">2.  </w:t>
      </w:r>
      <w:r>
        <w:rPr>
          <w:b/>
          <w:bCs/>
          <w:color w:val="1F3864"/>
          <w:sz w:val="26"/>
          <w:szCs w:val="26"/>
        </w:rPr>
        <w:t xml:space="preserve">appsettings.json — placeholder values</w:t>
      </w:r>
    </w:p>
    <w:p>
      <w:pPr>
        <w:spacing w:after="140"/>
      </w:pPr>
      <w:r>
        <w:rPr>
          <w:b/>
          <w:bCs/>
          <w:color w:val="FFFFFF"/>
          <w:sz w:val="16"/>
          <w:szCs w:val="16"/>
          <w:shd w:fill="C0392B" w:val="clear"/>
        </w:rPr>
        <w:t xml:space="preserve">  BLOCKER  </w:t>
      </w:r>
    </w:p>
    <w:p>
      <w:pPr>
        <w:spacing w:after="160" w:line="300"/>
      </w:pPr>
      <w:r>
        <w:rPr>
          <w:sz w:val="21"/>
          <w:szCs w:val="21"/>
        </w:rPr>
        <w:t xml:space="preserve">File: LloydsIntegration/appsettings.json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2995"/>
        <w:gridCol w:w="3370"/>
      </w:tblGrid>
      <w:tr>
        <w:trPr>
          <w:tblHeader/>
        </w:trPr>
        <w:tc>
          <w:tcPr>
            <w:tcW w:type="dxa" w:w="2995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2995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Placeholder now</w:t>
            </w:r>
          </w:p>
        </w:tc>
        <w:tc>
          <w:tcPr>
            <w:tcW w:type="dxa" w:w="337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Replace with</w:t>
            </w:r>
          </w:p>
        </w:tc>
      </w:tr>
      <w:tr>
        <w:tc>
          <w:tcPr>
            <w:tcW w:type="dxa" w:w="299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E3A26"/>
                <w:sz w:val="20"/>
                <w:szCs w:val="20"/>
              </w:rPr>
              <w:t xml:space="preserve">Jwt:Key</w:t>
            </w:r>
          </w:p>
        </w:tc>
        <w:tc>
          <w:tcPr>
            <w:tcW w:type="dxa" w:w="299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REPLACE_WITH_A_LONG_RANDOM...</w:t>
            </w:r>
          </w:p>
        </w:tc>
        <w:tc>
          <w:tcPr>
            <w:tcW w:type="dxa" w:w="337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real random secret (ours, not Lloyds' — just generate one)</w:t>
            </w:r>
          </w:p>
        </w:tc>
      </w:tr>
      <w:tr>
        <w:tc>
          <w:tcPr>
            <w:tcW w:type="dxa" w:w="2995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E3A26"/>
                <w:sz w:val="20"/>
                <w:szCs w:val="20"/>
              </w:rPr>
              <w:t xml:space="preserve">Lloyds:ClientId</w:t>
            </w:r>
          </w:p>
        </w:tc>
        <w:tc>
          <w:tcPr>
            <w:tcW w:type="dxa" w:w="2995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REPLACE_WITH_CLIENT_ID</w:t>
            </w:r>
          </w:p>
        </w:tc>
        <w:tc>
          <w:tcPr>
            <w:tcW w:type="dxa" w:w="337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From Lloyds' Secure Email</w:t>
            </w:r>
          </w:p>
        </w:tc>
      </w:tr>
      <w:tr>
        <w:tc>
          <w:tcPr>
            <w:tcW w:type="dxa" w:w="299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E3A26"/>
                <w:sz w:val="20"/>
                <w:szCs w:val="20"/>
              </w:rPr>
              <w:t xml:space="preserve">Lloyds:ClientSecret</w:t>
            </w:r>
          </w:p>
        </w:tc>
        <w:tc>
          <w:tcPr>
            <w:tcW w:type="dxa" w:w="299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REPLACE_WITH_CLIENT_SECRET</w:t>
            </w:r>
          </w:p>
        </w:tc>
        <w:tc>
          <w:tcPr>
            <w:tcW w:type="dxa" w:w="337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From Lloyds' Secure Email</w:t>
            </w:r>
          </w:p>
        </w:tc>
      </w:tr>
      <w:tr>
        <w:tc>
          <w:tcPr>
            <w:tcW w:type="dxa" w:w="2995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E3A26"/>
                <w:sz w:val="20"/>
                <w:szCs w:val="20"/>
              </w:rPr>
              <w:t xml:space="preserve">Lloyds:Scope</w:t>
            </w:r>
          </w:p>
        </w:tc>
        <w:tc>
          <w:tcPr>
            <w:tcW w:type="dxa" w:w="2995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REPLACE_WITH_SCOPE</w:t>
            </w:r>
          </w:p>
        </w:tc>
        <w:tc>
          <w:tcPr>
            <w:tcW w:type="dxa" w:w="337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Fallback scope for the raw TokenController passthrough only</w:t>
            </w:r>
          </w:p>
        </w:tc>
      </w:tr>
      <w:tr>
        <w:tc>
          <w:tcPr>
            <w:tcW w:type="dxa" w:w="299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E3A26"/>
                <w:sz w:val="20"/>
                <w:szCs w:val="20"/>
              </w:rPr>
              <w:t xml:space="preserve">Lloyds:ApiKey</w:t>
            </w:r>
          </w:p>
        </w:tc>
        <w:tc>
          <w:tcPr>
            <w:tcW w:type="dxa" w:w="299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REPLACE_WITH_X_IBM_CLIENT_ID</w:t>
            </w:r>
          </w:p>
        </w:tc>
        <w:tc>
          <w:tcPr>
            <w:tcW w:type="dxa" w:w="337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Your IBM API Connect client ID</w:t>
            </w:r>
          </w:p>
        </w:tc>
      </w:tr>
      <w:tr>
        <w:tc>
          <w:tcPr>
            <w:tcW w:type="dxa" w:w="2995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E3A26"/>
                <w:sz w:val="20"/>
                <w:szCs w:val="20"/>
              </w:rPr>
              <w:t xml:space="preserve">Lloyds:SystemUserId</w:t>
            </w:r>
          </w:p>
        </w:tc>
        <w:tc>
          <w:tcPr>
            <w:tcW w:type="dxa" w:w="2995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REPLACE_WITH_SYSTEM_USER_ID</w:t>
            </w:r>
          </w:p>
        </w:tc>
        <w:tc>
          <w:tcPr>
            <w:tcW w:type="dxa" w:w="337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Set up in Gem Connect</w:t>
            </w:r>
          </w:p>
        </w:tc>
      </w:tr>
      <w:tr>
        <w:tc>
          <w:tcPr>
            <w:tcW w:type="dxa" w:w="299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E3A26"/>
                <w:sz w:val="20"/>
                <w:szCs w:val="20"/>
              </w:rPr>
              <w:t xml:space="preserve">Lloyds:TlsCertificatePath/Password</w:t>
            </w:r>
          </w:p>
        </w:tc>
        <w:tc>
          <w:tcPr>
            <w:tcW w:type="dxa" w:w="299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dummy PFX + DummyCertPass123!</w:t>
            </w:r>
          </w:p>
        </w:tc>
        <w:tc>
          <w:tcPr>
            <w:tcW w:type="dxa" w:w="337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Real TLS cert path + real password</w:t>
            </w:r>
          </w:p>
        </w:tc>
      </w:tr>
      <w:tr>
        <w:tc>
          <w:tcPr>
            <w:tcW w:type="dxa" w:w="2995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E3A26"/>
                <w:sz w:val="20"/>
                <w:szCs w:val="20"/>
              </w:rPr>
              <w:t xml:space="preserve">Lloyds:MlsCertificatePath/Password</w:t>
            </w:r>
          </w:p>
        </w:tc>
        <w:tc>
          <w:tcPr>
            <w:tcW w:type="dxa" w:w="2995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dummy PFX + DummyCertPass123!</w:t>
            </w:r>
          </w:p>
        </w:tc>
        <w:tc>
          <w:tcPr>
            <w:tcW w:type="dxa" w:w="337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Real MLS cert path + real password</w:t>
            </w:r>
          </w:p>
        </w:tc>
      </w:tr>
      <w:tr>
        <w:tc>
          <w:tcPr>
            <w:tcW w:type="dxa" w:w="299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E3A26"/>
                <w:sz w:val="20"/>
                <w:szCs w:val="20"/>
              </w:rPr>
              <w:t xml:space="preserve">Lloyds:MlsKeyId</w:t>
            </w:r>
          </w:p>
        </w:tc>
        <w:tc>
          <w:tcPr>
            <w:tcW w:type="dxa" w:w="299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REPLACE_WITH_KID_ISSUED_BY_LLOYDS</w:t>
            </w:r>
          </w:p>
        </w:tc>
        <w:tc>
          <w:tcPr>
            <w:tcW w:type="dxa" w:w="337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kid Lloyds issues alongside the MLS certificate</w:t>
            </w:r>
          </w:p>
        </w:tc>
      </w:tr>
    </w:tbl>
    <w:p>
      <w:pPr>
        <w:spacing w:after="0" w:before="140"/>
      </w:pPr>
      <w:r>
        <w:rPr>
          <w:i/>
          <w:iCs/>
          <w:color w:val="595959"/>
          <w:sz w:val="19"/>
          <w:szCs w:val="19"/>
        </w:rPr>
        <w:t xml:space="preserve">Consider moving certificate passwords and the client secret into a proper secret store rather than appsettings.json once real values are available.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6"/>
          <w:szCs w:val="26"/>
        </w:rPr>
        <w:t xml:space="preserve">2a.  </w:t>
      </w:r>
      <w:r>
        <w:rPr>
          <w:b/>
          <w:bCs/>
          <w:color w:val="1F3864"/>
          <w:sz w:val="26"/>
          <w:szCs w:val="26"/>
        </w:rPr>
        <w:t xml:space="preserve">Base URLs — confirm against the Technical Implementation Guide</w:t>
      </w:r>
    </w:p>
    <w:p>
      <w:pPr>
        <w:spacing w:after="140"/>
      </w:pPr>
      <w:r>
        <w:rPr>
          <w:b/>
          <w:bCs/>
          <w:color w:val="FFFFFF"/>
          <w:sz w:val="16"/>
          <w:szCs w:val="16"/>
          <w:shd w:fill="B7791F" w:val="clear"/>
        </w:rPr>
        <w:t xml:space="preserve">  CONFIRM  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0"/>
          <w:szCs w:val="20"/>
        </w:rPr>
        <w:t xml:space="preserve">Lloyds:BaseUrl / TokenUrl / AuthorizeUrl </w:t>
      </w:r>
      <w:r>
        <w:rPr>
          <w:sz w:val="20"/>
          <w:szCs w:val="20"/>
        </w:rPr>
        <w:t xml:space="preserve">are currently set to a best-guess host (secure-channel-api.lloydsbankinggroup.com/prod01/...) inferred from the docs, not copy-pasted from a URL table. Confirm the exact hostnames.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0"/>
          <w:szCs w:val="20"/>
        </w:rPr>
        <w:t xml:space="preserve">Per the Simulator Mode guide there is </w:t>
      </w:r>
      <w:r>
        <w:rPr>
          <w:b/>
          <w:bCs/>
          <w:sz w:val="20"/>
          <w:szCs w:val="20"/>
        </w:rPr>
        <w:t xml:space="preserve">no separate sandbox/UAT host</w:t>
      </w:r>
      <w:r>
        <w:rPr>
          <w:sz w:val="20"/>
          <w:szCs w:val="20"/>
        </w:rPr>
        <w:t xml:space="preserve"> — Simulator Mode runs on this same production gateway, just toggled per account by Lloyds.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6"/>
          <w:szCs w:val="26"/>
        </w:rPr>
        <w:t xml:space="preserve">3.  </w:t>
      </w:r>
      <w:r>
        <w:rPr>
          <w:b/>
          <w:bCs/>
          <w:color w:val="1F3864"/>
          <w:sz w:val="26"/>
          <w:szCs w:val="26"/>
        </w:rPr>
        <w:t xml:space="preserve">JWS Signing — validate against a real Lloyds response</w:t>
      </w:r>
    </w:p>
    <w:p>
      <w:pPr>
        <w:spacing w:after="140"/>
      </w:pPr>
      <w:r>
        <w:rPr>
          <w:b/>
          <w:bCs/>
          <w:color w:val="FFFFFF"/>
          <w:sz w:val="16"/>
          <w:szCs w:val="16"/>
          <w:shd w:fill="B7791F" w:val="clear"/>
        </w:rPr>
        <w:t xml:space="preserve">  CONFIRM  </w:t>
      </w:r>
    </w:p>
    <w:p>
      <w:pPr>
        <w:spacing w:after="160" w:line="300"/>
      </w:pPr>
      <w:r>
        <w:rPr>
          <w:sz w:val="21"/>
          <w:szCs w:val="21"/>
        </w:rPr>
        <w:t xml:space="preserve">File: Lloyds/Helpers/JwsSigner.cs (line 15)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0"/>
          <w:szCs w:val="20"/>
        </w:rPr>
        <w:t xml:space="preserve">Implements the standard RFC 7797 detached RS256 JWS shape: </w:t>
      </w:r>
      <w:r>
        <w:rPr>
          <w:rFonts w:ascii="Consolas" w:cs="Consolas" w:eastAsia="Consolas" w:hAnsi="Consolas"/>
          <w:color w:val="AE3A26"/>
          <w:sz w:val="20"/>
          <w:szCs w:val="20"/>
        </w:rPr>
        <w:t xml:space="preserve">alg, kid, b64:false, crit:[b64]</w:t>
      </w:r>
      <w:r>
        <w:rPr>
          <w:sz w:val="20"/>
          <w:szCs w:val="20"/>
        </w:rPr>
        <w:t xml:space="preserve">. Verified locally to produce a structurally valid 3-part token.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0"/>
          <w:szCs w:val="20"/>
        </w:rPr>
        <w:t xml:space="preserve">Not yet verified against Lloyds itself.</w:t>
      </w:r>
      <w:r>
        <w:rPr>
          <w:sz w:val="20"/>
          <w:szCs w:val="20"/>
        </w:rPr>
        <w:t xml:space="preserve"> Once real certs are in place, confirm Lloyds doesn't expect extra claims (e.g. iat / iss) before relying on it in production.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6"/>
          <w:szCs w:val="26"/>
        </w:rPr>
        <w:t xml:space="preserve">4.  </w:t>
      </w:r>
      <w:r>
        <w:rPr>
          <w:b/>
          <w:bCs/>
          <w:color w:val="1F3864"/>
          <w:sz w:val="26"/>
          <w:szCs w:val="26"/>
        </w:rPr>
        <w:t xml:space="preserve">Code-level judgment calls to revisit</w:t>
      </w:r>
    </w:p>
    <w:p>
      <w:pPr>
        <w:spacing w:after="140"/>
      </w:pPr>
      <w:r>
        <w:rPr>
          <w:b/>
          <w:bCs/>
          <w:color w:val="FFFFFF"/>
          <w:sz w:val="16"/>
          <w:szCs w:val="16"/>
          <w:shd w:fill="B7791F" w:val="clear"/>
        </w:rPr>
        <w:t xml:space="preserve">  CONFIRM  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onsolas" w:cs="Consolas" w:eastAsia="Consolas" w:hAnsi="Consolas"/>
          <w:color w:val="AE3A26"/>
          <w:sz w:val="20"/>
          <w:szCs w:val="20"/>
        </w:rPr>
        <w:t xml:space="preserve">Controllers/TokenController.cs</w:t>
      </w:r>
      <w:r>
        <w:rPr>
          <w:sz w:val="20"/>
          <w:szCs w:val="20"/>
        </w:rPr>
        <w:t xml:space="preserve"> (line 52) — </w:t>
      </w:r>
      <w:r>
        <w:rPr>
          <w:rFonts w:ascii="Consolas" w:cs="Consolas" w:eastAsia="Consolas" w:hAnsi="Consolas"/>
          <w:color w:val="AE3A26"/>
          <w:sz w:val="20"/>
          <w:szCs w:val="20"/>
        </w:rPr>
        <w:t xml:space="preserve">POST /oauth2/v1/authorize</w:t>
      </w:r>
      <w:r>
        <w:rPr>
          <w:sz w:val="20"/>
          <w:szCs w:val="20"/>
        </w:rPr>
        <w:t xml:space="preserve"> returns 501 Not Implemented. This requires an interactive session on Lloyds' hosted page and can't be proxied server-to-server. Only implement if Lloyds documents a headless flow.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0"/>
          <w:szCs w:val="20"/>
        </w:rPr>
        <w:t xml:space="preserve">x-ibm-client-id sent defensively </w:t>
      </w:r>
      <w:r>
        <w:rPr>
          <w:sz w:val="20"/>
          <w:szCs w:val="20"/>
        </w:rPr>
        <w:t xml:space="preserve">in three services even though the YAML doesn't list it as a parameter for those operations. Remove if Lloyds' gateway rejects it as unexpected:</w:t>
      </w:r>
    </w:p>
    <w:p>
      <w:pPr>
        <w:pStyle w:val="ListParagraph"/>
        <w:numPr>
          <w:ilvl w:val="1"/>
          <w:numId w:val="2"/>
        </w:numPr>
        <w:spacing w:after="90" w:line="280"/>
      </w:pPr>
      <w:r>
        <w:rPr>
          <w:rFonts w:ascii="Consolas" w:cs="Consolas" w:eastAsia="Consolas" w:hAnsi="Consolas"/>
          <w:color w:val="AE3A26"/>
          <w:sz w:val="20"/>
          <w:szCs w:val="20"/>
        </w:rPr>
        <w:t xml:space="preserve">Services/InternationalPaymentService.cs</w:t>
      </w:r>
      <w:r>
        <w:rPr>
          <w:sz w:val="20"/>
          <w:szCs w:val="20"/>
        </w:rPr>
        <w:t xml:space="preserve">  (line 27)</w:t>
      </w:r>
    </w:p>
    <w:p>
      <w:pPr>
        <w:pStyle w:val="ListParagraph"/>
        <w:numPr>
          <w:ilvl w:val="1"/>
          <w:numId w:val="2"/>
        </w:numPr>
        <w:spacing w:after="90" w:line="280"/>
      </w:pPr>
      <w:r>
        <w:rPr>
          <w:rFonts w:ascii="Consolas" w:cs="Consolas" w:eastAsia="Consolas" w:hAnsi="Consolas"/>
          <w:color w:val="AE3A26"/>
          <w:sz w:val="20"/>
          <w:szCs w:val="20"/>
        </w:rPr>
        <w:t xml:space="preserve">Services/SepaPaymentService.cs</w:t>
      </w:r>
      <w:r>
        <w:rPr>
          <w:sz w:val="20"/>
          <w:szCs w:val="20"/>
        </w:rPr>
        <w:t xml:space="preserve">  (line 27)</w:t>
      </w:r>
    </w:p>
    <w:p>
      <w:pPr>
        <w:pStyle w:val="ListParagraph"/>
        <w:numPr>
          <w:ilvl w:val="1"/>
          <w:numId w:val="2"/>
        </w:numPr>
        <w:spacing w:after="90" w:line="280"/>
      </w:pPr>
      <w:r>
        <w:rPr>
          <w:rFonts w:ascii="Consolas" w:cs="Consolas" w:eastAsia="Consolas" w:hAnsi="Consolas"/>
          <w:color w:val="AE3A26"/>
          <w:sz w:val="20"/>
          <w:szCs w:val="20"/>
        </w:rPr>
        <w:t xml:space="preserve">Services/TransferService.cs</w:t>
      </w:r>
      <w:r>
        <w:rPr>
          <w:sz w:val="20"/>
          <w:szCs w:val="20"/>
        </w:rPr>
        <w:t xml:space="preserve">  (line 27)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6"/>
          <w:szCs w:val="26"/>
        </w:rPr>
        <w:t xml:space="preserve">5.  </w:t>
      </w:r>
      <w:r>
        <w:rPr>
          <w:b/>
          <w:bCs/>
          <w:color w:val="1F3864"/>
          <w:sz w:val="26"/>
          <w:szCs w:val="26"/>
        </w:rPr>
        <w:t xml:space="preserve">Model schema ambiguities (generated models)</w:t>
      </w:r>
    </w:p>
    <w:p>
      <w:pPr>
        <w:spacing w:after="140"/>
      </w:pPr>
      <w:r>
        <w:rPr>
          <w:b/>
          <w:bCs/>
          <w:color w:val="FFFFFF"/>
          <w:sz w:val="16"/>
          <w:szCs w:val="16"/>
          <w:shd w:fill="4C6B8A" w:val="clear"/>
        </w:rPr>
        <w:t xml:space="preserve">  LOW  </w:t>
      </w:r>
    </w:p>
    <w:p>
      <w:pPr>
        <w:spacing w:after="160" w:line="300"/>
      </w:pPr>
      <w:r>
        <w:rPr>
          <w:sz w:val="21"/>
          <w:szCs w:val="21"/>
        </w:rPr>
        <w:t xml:space="preserve">Same issue in all 13 files below: Lloyds' own YAML declares GatewayError.errors as type: string while also giving it an items: $ref (a bug in Lloyds' spec, not something we can fix on our end). Each was modeled per its literal declared type with a comment explaining the ambiguity. Only worth touching if a real error payload from Lloyds doesn't deserialize correctly.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onsolas" w:cs="Consolas" w:eastAsia="Consolas" w:hAnsi="Consolas"/>
          <w:color w:val="AE3A26"/>
          <w:sz w:val="20"/>
          <w:szCs w:val="20"/>
        </w:rPr>
        <w:t xml:space="preserve">Models/AccountManagement/CreateAccountModels.cs</w:t>
      </w:r>
      <w:r>
        <w:rPr>
          <w:sz w:val="19"/>
          <w:szCs w:val="19"/>
        </w:rPr>
        <w:t xml:space="preserve">  and  </w:t>
      </w:r>
      <w:r>
        <w:rPr>
          <w:rFonts w:ascii="Consolas" w:cs="Consolas" w:eastAsia="Consolas" w:hAnsi="Consolas"/>
          <w:color w:val="AE3A26"/>
          <w:sz w:val="20"/>
          <w:szCs w:val="20"/>
        </w:rPr>
        <w:t xml:space="preserve">CloseAccountModels.cs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onsolas" w:cs="Consolas" w:eastAsia="Consolas" w:hAnsi="Consolas"/>
          <w:color w:val="AE3A26"/>
          <w:sz w:val="20"/>
          <w:szCs w:val="20"/>
        </w:rPr>
        <w:t xml:space="preserve">Models/Payment/Chaps/GatewayError.cs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onsolas" w:cs="Consolas" w:eastAsia="Consolas" w:hAnsi="Consolas"/>
          <w:color w:val="AE3A26"/>
          <w:sz w:val="20"/>
          <w:szCs w:val="20"/>
        </w:rPr>
        <w:t xml:space="preserve">Models/Payment/FasterPayment/GatewayError.cs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onsolas" w:cs="Consolas" w:eastAsia="Consolas" w:hAnsi="Consolas"/>
          <w:color w:val="AE3A26"/>
          <w:sz w:val="20"/>
          <w:szCs w:val="20"/>
        </w:rPr>
        <w:t xml:space="preserve">Models/Payment/PaymentStatus/GatewayError.cs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onsolas" w:cs="Consolas" w:eastAsia="Consolas" w:hAnsi="Consolas"/>
          <w:color w:val="AE3A26"/>
          <w:sz w:val="20"/>
          <w:szCs w:val="20"/>
        </w:rPr>
        <w:t xml:space="preserve">Models/Payment/International/ErrorModels.cs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onsolas" w:cs="Consolas" w:eastAsia="Consolas" w:hAnsi="Consolas"/>
          <w:color w:val="AE3A26"/>
          <w:sz w:val="20"/>
          <w:szCs w:val="20"/>
        </w:rPr>
        <w:t xml:space="preserve">Models/Payment/Sepa/ErrorModels.cs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onsolas" w:cs="Consolas" w:eastAsia="Consolas" w:hAnsi="Consolas"/>
          <w:color w:val="AE3A26"/>
          <w:sz w:val="20"/>
          <w:szCs w:val="20"/>
        </w:rPr>
        <w:t xml:space="preserve">Models/Payment/Transfer/ErrorModels.cs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onsolas" w:cs="Consolas" w:eastAsia="Consolas" w:hAnsi="Consolas"/>
          <w:color w:val="AE3A26"/>
          <w:sz w:val="20"/>
          <w:szCs w:val="20"/>
        </w:rPr>
        <w:t xml:space="preserve">Models/Payment/Jwks/ErrorProperties.cs</w:t>
      </w:r>
      <w:r>
        <w:rPr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AE3A26"/>
          <w:sz w:val="20"/>
          <w:szCs w:val="20"/>
        </w:rPr>
        <w:t xml:space="preserve">ErrorResponse.cs</w:t>
      </w:r>
      <w:r>
        <w:rPr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AE3A26"/>
          <w:sz w:val="20"/>
          <w:szCs w:val="20"/>
        </w:rPr>
        <w:t xml:space="preserve">JwksResponse.cs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onsolas" w:cs="Consolas" w:eastAsia="Consolas" w:hAnsi="Consolas"/>
          <w:color w:val="AE3A26"/>
          <w:sz w:val="20"/>
          <w:szCs w:val="20"/>
        </w:rPr>
        <w:t xml:space="preserve">Models/Reporting/Account/AccountCommon.cs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onsolas" w:cs="Consolas" w:eastAsia="Consolas" w:hAnsi="Consolas"/>
          <w:color w:val="AE3A26"/>
          <w:sz w:val="20"/>
          <w:szCs w:val="20"/>
        </w:rPr>
        <w:t xml:space="preserve">Models/Reporting/Balance/BalanceCommon.cs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onsolas" w:cs="Consolas" w:eastAsia="Consolas" w:hAnsi="Consolas"/>
          <w:color w:val="AE3A26"/>
          <w:sz w:val="20"/>
          <w:szCs w:val="20"/>
        </w:rPr>
        <w:t xml:space="preserve">Models/Reporting/Statement/StatementModels.cs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onsolas" w:cs="Consolas" w:eastAsia="Consolas" w:hAnsi="Consolas"/>
          <w:color w:val="AE3A26"/>
          <w:sz w:val="20"/>
          <w:szCs w:val="20"/>
        </w:rPr>
        <w:t xml:space="preserve">Models/Reporting/StatementRetrieve/StatementRetrieveModels.cs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onsolas" w:cs="Consolas" w:eastAsia="Consolas" w:hAnsi="Consolas"/>
          <w:color w:val="AE3A26"/>
          <w:sz w:val="20"/>
          <w:szCs w:val="20"/>
        </w:rPr>
        <w:t xml:space="preserve">Models/Reporting/Transactions/TransactionsModels.cs</w:t>
      </w:r>
    </w:p>
    <w:p>
      <w:pPr>
        <w:pStyle w:val="Heading1"/>
        <w:pBdr>
          <w:bottom w:val="single" w:color="1F3864" w:sz="6" w:space="4"/>
        </w:pBdr>
        <w:spacing w:after="160" w:before="300"/>
      </w:pPr>
      <w:r>
        <w:rPr>
          <w:b/>
          <w:bCs/>
          <w:color w:val="1F3864"/>
          <w:sz w:val="30"/>
          <w:szCs w:val="30"/>
        </w:rPr>
        <w:t xml:space="preserve">Recommended Order of Operations</w:t>
      </w:r>
    </w:p>
    <w:tbl>
      <w:tblPr>
        <w:tblW w:type="dxa" w:w="9360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360"/>
            <w:shd w:fill="EEF3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Work through these in sequence — each step unblocks the next:</w:t>
            </w:r>
          </w:p>
          <w:p>
            <w:pPr>
              <w:spacing w:after="60" w:line="270"/>
            </w:pPr>
            <w:r>
              <w:rPr>
                <w:b/>
                <w:bCs/>
                <w:color w:val="2E74B5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Get the certificates issued (Section 1) — submit CSRs to Lloyds' Onboarding &amp; Servicing Team.</w:t>
            </w:r>
          </w:p>
          <w:p>
            <w:pPr>
              <w:spacing w:after="60" w:line="270"/>
            </w:pPr>
            <w:r>
              <w:rPr>
                <w:b/>
                <w:bCs/>
                <w:color w:val="2E74B5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Fill in appsettings.json (Section 2) with the real Client ID/Secret, API key, System User ID, and cert paths/passwords.</w:t>
            </w:r>
          </w:p>
          <w:p>
            <w:pPr>
              <w:spacing w:after="60" w:line="270"/>
            </w:pPr>
            <w:r>
              <w:rPr>
                <w:b/>
                <w:bCs/>
                <w:color w:val="2E74B5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Confirm the real base URLs (Section 2a) against the Technical Implementation Guide.</w:t>
            </w:r>
          </w:p>
          <w:p>
            <w:pPr>
              <w:spacing w:after="60" w:line="270"/>
            </w:pPr>
            <w:r>
              <w:rPr>
                <w:b/>
                <w:bCs/>
                <w:color w:val="2E74B5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Run one real call per module (Account, Payment, Reporting, Token) and watch for x-ibm-client-id or JWS rejections (Sections 3–4).</w:t>
            </w:r>
          </w:p>
          <w:p>
            <w:pPr>
              <w:spacing w:after="60" w:line="270"/>
            </w:pPr>
            <w:r>
              <w:rPr>
                <w:b/>
                <w:bCs/>
                <w:color w:val="2E74B5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Only chase Section 5 if an actual Lloyds error response fails to deserialize.</w:t>
            </w:r>
          </w:p>
        </w:tc>
      </w:tr>
    </w:tbl>
    <w:p>
      <w:pPr>
        <w:spacing w:before="320"/>
      </w:pPr>
      <w:r>
        <w:rPr>
          <w:i/>
          <w:iCs/>
          <w:color w:val="595959"/>
          <w:sz w:val="18"/>
          <w:szCs w:val="18"/>
        </w:rPr>
        <w:t xml:space="preserve">Generated from a codebase review of the LloydsIntegration solution — every item above traces to an actual TODO comment or placeholder value in source control.</w:t>
      </w:r>
    </w:p>
    <w:sectPr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2026-07-25T13:34:32.525Z</dcterms:created>
  <dcterms:modified xsi:type="dcterms:W3CDTF">2026-07-25T13:34:32.527Z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