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p>
    <w:p>
      <w:pPr>
        <w:spacing w:before="800" w:after="240"/>
        <w:jc w:val="center"/>
      </w:pPr>
      <w:r>
        <w:rPr>
          <w:rFonts w:ascii="Times New Roman" w:hAnsi="Times New Roman"/>
          <w:b/>
          <w:sz w:val="48"/>
        </w:rPr>
        <w:t>NETSLEUTH</w:t>
      </w:r>
    </w:p>
    <w:p>
      <w:pPr>
        <w:spacing w:before="0" w:after="3600"/>
        <w:jc w:val="center"/>
      </w:pPr>
      <w:r>
        <w:rPr>
          <w:rFonts w:ascii="Times New Roman" w:hAnsi="Times New Roman"/>
          <w:sz w:val="28"/>
        </w:rPr>
        <w:t>Lightweight Security Event Detection</w:t>
        <w:br/>
        <w:t>and Threat Analysis Dashboard</w:t>
      </w:r>
    </w:p>
    <w:p>
      <w:pPr>
        <w:spacing w:after="80"/>
        <w:jc w:val="center"/>
      </w:pPr>
      <w:r>
        <w:rPr>
          <w:rFonts w:ascii="Times New Roman" w:hAnsi="Times New Roman"/>
          <w:b/>
          <w:sz w:val="24"/>
        </w:rPr>
        <w:t>Submitted By:-</w:t>
      </w:r>
    </w:p>
    <w:p>
      <w:pPr>
        <w:spacing w:after="40"/>
        <w:jc w:val="center"/>
      </w:pPr>
      <w:r>
        <w:rPr>
          <w:rFonts w:ascii="Times New Roman" w:hAnsi="Times New Roman"/>
          <w:sz w:val="24"/>
        </w:rPr>
        <w:t>[STUDENT NAME] [ROLL NUMBER]</w:t>
      </w:r>
    </w:p>
    <w:p>
      <w:pPr>
        <w:spacing w:after="40"/>
        <w:jc w:val="center"/>
      </w:pPr>
      <w:r>
        <w:rPr>
          <w:rFonts w:ascii="Times New Roman" w:hAnsi="Times New Roman"/>
          <w:sz w:val="24"/>
        </w:rPr>
        <w:t>[TEAM MEMBER 2] [ROLL NUMBER 2]</w:t>
      </w:r>
    </w:p>
    <w:p>
      <w:pPr>
        <w:spacing w:after="40"/>
        <w:jc w:val="center"/>
      </w:pPr>
      <w:r>
        <w:rPr>
          <w:rFonts w:ascii="Times New Roman" w:hAnsi="Times New Roman"/>
          <w:sz w:val="24"/>
        </w:rPr>
        <w:t>[TEAM MEMBER 3] [ROLL NUMBER 3]</w:t>
      </w:r>
    </w:p>
    <w:p>
      <w:pPr>
        <w:spacing w:after="40"/>
        <w:jc w:val="center"/>
      </w:pPr>
      <w:r>
        <w:rPr>
          <w:rFonts w:ascii="Times New Roman" w:hAnsi="Times New Roman"/>
          <w:sz w:val="24"/>
        </w:rPr>
        <w:t>[TEAM MEMBER 4] [ROLL NUMBER 4]</w:t>
      </w:r>
    </w:p>
    <w:p>
      <w:pPr>
        <w:spacing w:before="2400"/>
        <w:jc w:val="center"/>
      </w:pPr>
      <w:r>
        <w:rPr>
          <w:rFonts w:ascii="Times New Roman" w:hAnsi="Times New Roman"/>
          <w:b/>
          <w:sz w:val="24"/>
        </w:rPr>
        <w:t>Department of Computer Science</w:t>
      </w:r>
    </w:p>
    <w:p>
      <w:r>
        <w:br w:type="page"/>
      </w:r>
    </w:p>
    <w:p>
      <w:pPr>
        <w:spacing w:before="720" w:after="480"/>
        <w:jc w:val="center"/>
      </w:pPr>
      <w:r>
        <w:rPr>
          <w:rFonts w:ascii="Times New Roman" w:hAnsi="Times New Roman"/>
          <w:b/>
          <w:sz w:val="32"/>
        </w:rPr>
        <w:t>INDEX</w:t>
      </w:r>
    </w:p>
    <w:p>
      <w:pPr>
        <w:spacing w:before="80" w:after="80" w:line="312" w:lineRule="auto"/>
      </w:pPr>
      <w:r>
        <w:rPr>
          <w:rFonts w:ascii="Times New Roman" w:hAnsi="Times New Roman"/>
          <w:sz w:val="24"/>
        </w:rPr>
        <w:t>1. Introduction</w:t>
      </w:r>
    </w:p>
    <w:p>
      <w:pPr>
        <w:spacing w:before="80" w:after="80" w:line="312" w:lineRule="auto"/>
      </w:pPr>
      <w:r>
        <w:rPr>
          <w:rFonts w:ascii="Times New Roman" w:hAnsi="Times New Roman"/>
          <w:sz w:val="24"/>
        </w:rPr>
        <w:t>2. Problem Statement</w:t>
      </w:r>
    </w:p>
    <w:p>
      <w:pPr>
        <w:spacing w:before="80" w:after="80" w:line="312" w:lineRule="auto"/>
      </w:pPr>
      <w:r>
        <w:rPr>
          <w:rFonts w:ascii="Times New Roman" w:hAnsi="Times New Roman"/>
          <w:sz w:val="24"/>
        </w:rPr>
        <w:t>3. Objectives</w:t>
      </w:r>
    </w:p>
    <w:p>
      <w:pPr>
        <w:spacing w:before="80" w:after="80" w:line="312" w:lineRule="auto"/>
      </w:pPr>
      <w:r>
        <w:rPr>
          <w:rFonts w:ascii="Times New Roman" w:hAnsi="Times New Roman"/>
          <w:sz w:val="24"/>
        </w:rPr>
        <w:t>4. Scope of the Project</w:t>
      </w:r>
    </w:p>
    <w:p>
      <w:pPr>
        <w:spacing w:before="80" w:after="80" w:line="312" w:lineRule="auto"/>
      </w:pPr>
      <w:r>
        <w:rPr>
          <w:rFonts w:ascii="Times New Roman" w:hAnsi="Times New Roman"/>
          <w:sz w:val="24"/>
        </w:rPr>
        <w:t>5. Proposed System</w:t>
      </w:r>
    </w:p>
    <w:p>
      <w:pPr>
        <w:spacing w:before="80" w:after="80" w:line="312" w:lineRule="auto"/>
      </w:pPr>
      <w:r>
        <w:rPr>
          <w:rFonts w:ascii="Times New Roman" w:hAnsi="Times New Roman"/>
          <w:sz w:val="24"/>
        </w:rPr>
        <w:t>6. System Architecture</w:t>
      </w:r>
    </w:p>
    <w:p>
      <w:pPr>
        <w:spacing w:before="80" w:after="80" w:line="312" w:lineRule="auto"/>
      </w:pPr>
      <w:r>
        <w:rPr>
          <w:rFonts w:ascii="Times New Roman" w:hAnsi="Times New Roman"/>
          <w:sz w:val="24"/>
        </w:rPr>
        <w:t>7. Tools and Technologies Used</w:t>
      </w:r>
    </w:p>
    <w:p>
      <w:pPr>
        <w:spacing w:before="80" w:after="80" w:line="312" w:lineRule="auto"/>
      </w:pPr>
      <w:r>
        <w:rPr>
          <w:rFonts w:ascii="Times New Roman" w:hAnsi="Times New Roman"/>
          <w:sz w:val="24"/>
        </w:rPr>
        <w:t>8. Module Description</w:t>
      </w:r>
    </w:p>
    <w:p>
      <w:pPr>
        <w:spacing w:before="80" w:after="80" w:line="312" w:lineRule="auto"/>
      </w:pPr>
      <w:r>
        <w:rPr>
          <w:rFonts w:ascii="Times New Roman" w:hAnsi="Times New Roman"/>
          <w:sz w:val="24"/>
        </w:rPr>
        <w:t>9. Working Methodology</w:t>
      </w:r>
    </w:p>
    <w:p>
      <w:pPr>
        <w:spacing w:before="80" w:after="80" w:line="312" w:lineRule="auto"/>
      </w:pPr>
      <w:r>
        <w:rPr>
          <w:rFonts w:ascii="Times New Roman" w:hAnsi="Times New Roman"/>
          <w:sz w:val="24"/>
        </w:rPr>
        <w:t>10. Risk Scoring and Alert Severity</w:t>
      </w:r>
    </w:p>
    <w:p>
      <w:pPr>
        <w:spacing w:before="80" w:after="80" w:line="312" w:lineRule="auto"/>
      </w:pPr>
      <w:r>
        <w:rPr>
          <w:rFonts w:ascii="Times New Roman" w:hAnsi="Times New Roman"/>
          <w:sz w:val="24"/>
        </w:rPr>
        <w:t>11. Testing and Results</w:t>
      </w:r>
    </w:p>
    <w:p>
      <w:pPr>
        <w:spacing w:before="80" w:after="80" w:line="312" w:lineRule="auto"/>
      </w:pPr>
      <w:r>
        <w:rPr>
          <w:rFonts w:ascii="Times New Roman" w:hAnsi="Times New Roman"/>
          <w:sz w:val="24"/>
        </w:rPr>
        <w:t>12. Future Enhancements</w:t>
      </w:r>
    </w:p>
    <w:p>
      <w:pPr>
        <w:spacing w:before="80" w:after="80" w:line="312" w:lineRule="auto"/>
      </w:pPr>
      <w:r>
        <w:rPr>
          <w:rFonts w:ascii="Times New Roman" w:hAnsi="Times New Roman"/>
          <w:sz w:val="24"/>
        </w:rPr>
        <w:t>13. Conclusion</w:t>
      </w:r>
    </w:p>
    <w:p>
      <w:pPr>
        <w:spacing w:before="80" w:after="80" w:line="312" w:lineRule="auto"/>
      </w:pPr>
      <w:r>
        <w:rPr>
          <w:rFonts w:ascii="Times New Roman" w:hAnsi="Times New Roman"/>
          <w:sz w:val="24"/>
        </w:rPr>
        <w:t>14. References</w:t>
      </w:r>
    </w:p>
    <w:p>
      <w:r>
        <w:br w:type="page"/>
      </w:r>
    </w:p>
    <w:p>
      <w:pPr>
        <w:keepNext/>
        <w:spacing w:before="320" w:after="120"/>
      </w:pPr>
      <w:r>
        <w:rPr>
          <w:rFonts w:ascii="Times New Roman" w:hAnsi="Times New Roman"/>
          <w:b/>
          <w:sz w:val="28"/>
        </w:rPr>
        <w:t>1. INTRODUCTION</w:t>
      </w:r>
    </w:p>
    <w:p>
      <w:pPr>
        <w:spacing w:before="0" w:after="120" w:line="276" w:lineRule="auto"/>
        <w:jc w:val="left"/>
      </w:pPr>
      <w:r>
        <w:rPr>
          <w:rFonts w:ascii="Times New Roman" w:hAnsi="Times New Roman"/>
          <w:sz w:val="24"/>
        </w:rPr>
        <w:t>Computers and enterprise cloud networks produce a large amount of information during their daily operation. In cloud environments like Amazon Web Services (AWS), this activity is recorded through network telemetry such as VPC Flow Logs. These logs capture metadata for every IP traffic flow entering, traversing, or leaving virtual network interfaces. They record vital communication fields including source and destination IP addresses, port numbers, protocols, packet counts, byte volumes, and firewall disposition decisions (ACCEPT or REJECT). These flow records help security analysts understand network activity and identify operations that require attention.</w:t>
      </w:r>
    </w:p>
    <w:p>
      <w:pPr>
        <w:spacing w:before="0" w:after="120" w:line="276" w:lineRule="auto"/>
        <w:jc w:val="left"/>
      </w:pPr>
      <w:r>
        <w:rPr>
          <w:rFonts w:ascii="Times New Roman" w:hAnsi="Times New Roman"/>
          <w:sz w:val="24"/>
        </w:rPr>
        <w:t>However, reading large amounts of raw flow data is not always easy. In production cloud environments, millions of flow records are generated every hour. Important security signals can easily be missed when analysts must examine records manually or inspect disconnected log streams. Furthermore, raw flow logs only present individual packet-group summaries without context. Determining whether a single rejected connection represents an isolated configuration error or part of a coordinated vertical port scan requires time-correlated analysis across multiple flows.</w:t>
      </w:r>
    </w:p>
    <w:p>
      <w:pPr>
        <w:spacing w:before="0" w:after="120" w:line="276" w:lineRule="auto"/>
        <w:jc w:val="left"/>
      </w:pPr>
      <w:r>
        <w:rPr>
          <w:rFonts w:ascii="Times New Roman" w:hAnsi="Times New Roman"/>
          <w:sz w:val="24"/>
        </w:rPr>
        <w:t>NetSleuth addresses this challenge by providing a lightweight, explainable dashboard for analyzing network flow records. It ingests standard AWS VPC Flow Log CSV files, cleans and validates the records, and evaluates them using predefined, deterministic sliding-window detection rules. These rules identify key attack milestones including vertical port scans (reconnaissance), horizontal subnet host sweeps (lateral movement), and high-volume data exfiltration (data theft).</w:t>
      </w:r>
    </w:p>
    <w:p>
      <w:pPr>
        <w:spacing w:before="0" w:after="120" w:line="276" w:lineRule="auto"/>
        <w:jc w:val="left"/>
      </w:pPr>
      <w:r>
        <w:rPr>
          <w:rFonts w:ascii="Times New Roman" w:hAnsi="Times New Roman"/>
          <w:sz w:val="24"/>
        </w:rPr>
        <w:t>One of the foundational principles of NetSleuth is to keep the entire security analysis transparent and explainable. Rather than relying on opaque, black-box machine learning algorithms that generate unverified probabilistic scores, NetSleuth uses deterministic sliding time windows and an additive scoring model (ranging from 0 to 100). Every point in an incident's priority score is backed by a verifiable reason, allowing security analysts and academic evaluators to audit exactly why an event was flagged.</w:t>
      </w:r>
    </w:p>
    <w:p>
      <w:pPr>
        <w:spacing w:before="0" w:after="120" w:line="276" w:lineRule="auto"/>
        <w:jc w:val="left"/>
      </w:pPr>
      <w:r>
        <w:rPr>
          <w:rFonts w:ascii="Times New Roman" w:hAnsi="Times New Roman"/>
          <w:sz w:val="24"/>
        </w:rPr>
        <w:t>The project demonstrates how efficient data processing, rule-based threat detection, MITRE ATT&amp;CK framework mapping, and interactive visual presentation can be combined to support network security analysis. NetSleuth is designed as a focused, lightweight forensic analysis and learning tool that runs efficiently on commodity hardware, rather than an expensive enterprise Security Information and Event Management (SIEM) replacement.</w:t>
      </w:r>
    </w:p>
    <w:p>
      <w:pPr>
        <w:keepNext/>
        <w:spacing w:before="320" w:after="120"/>
      </w:pPr>
      <w:r>
        <w:rPr>
          <w:rFonts w:ascii="Times New Roman" w:hAnsi="Times New Roman"/>
          <w:b/>
          <w:sz w:val="28"/>
        </w:rPr>
        <w:t>2. PROBLEM STATEMENT</w:t>
      </w:r>
    </w:p>
    <w:p>
      <w:pPr>
        <w:spacing w:before="0" w:after="120" w:line="276" w:lineRule="auto"/>
        <w:jc w:val="left"/>
      </w:pPr>
      <w:r>
        <w:rPr>
          <w:rFonts w:ascii="Times New Roman" w:hAnsi="Times New Roman"/>
          <w:sz w:val="24"/>
        </w:rPr>
        <w:t>Cloud network flow logs contain essential information for detecting unauthorized network intrusions, reconnaissance sweeps, and illicit data transfers. However, this telemetry is high-volume, timestamp-sensitive, and stored in flat tabular structures that require systematic correlation before actionable security conclusions can be drawn.</w:t>
      </w:r>
    </w:p>
    <w:p>
      <w:pPr>
        <w:spacing w:before="0" w:after="120" w:line="276" w:lineRule="auto"/>
        <w:jc w:val="left"/>
      </w:pPr>
      <w:r>
        <w:rPr>
          <w:rFonts w:ascii="Times New Roman" w:hAnsi="Times New Roman"/>
          <w:sz w:val="24"/>
        </w:rPr>
        <w:t>For example, a flow log dataset may contain dozens of short-lived connections from an external IP address to a web server across multiple high-numbered ports within a span of twenty seconds. Examined individually, each flow record represents just a few packets with an ACCEPT or REJECT status. It is only when these records are aggregated over a sliding temporal window that a clear pattern of vertical port scanning emerges. Similarly, an internal host communicating with ten other hosts on SMB port 445 within a minute indicates internal lateral reconnaissance, which goes unnoticed if individual flows are inspected in isolation.</w:t>
      </w:r>
    </w:p>
    <w:p>
      <w:pPr>
        <w:spacing w:before="0" w:after="120" w:line="276" w:lineRule="auto"/>
        <w:jc w:val="left"/>
      </w:pPr>
      <w:r>
        <w:rPr>
          <w:rFonts w:ascii="Times New Roman" w:hAnsi="Times New Roman"/>
          <w:sz w:val="24"/>
        </w:rPr>
        <w:t>Another major challenge is prioritizing findings and managing alert fatigue. Security analysts are frequently overwhelmed by thousands of disconnected alerts. A single isolated connection error has a vastly different operational severity than a multi-stage intrusion that begins with port scanning, progresses to host sweeps, and culminates in outbound data theft. Without a transparent, consistent method of scoring and correlating alerts by threat actor and time proximity, security teams cannot determine which incidents require immediate remediation.</w:t>
      </w:r>
    </w:p>
    <w:p>
      <w:pPr>
        <w:spacing w:before="0" w:after="120" w:line="276" w:lineRule="auto"/>
        <w:jc w:val="left"/>
      </w:pPr>
      <w:r>
        <w:rPr>
          <w:rFonts w:ascii="Times New Roman" w:hAnsi="Times New Roman"/>
          <w:sz w:val="24"/>
        </w:rPr>
        <w:t>The problem addressed by NetSleuth is the lack of a lightweight, accessible, and explainable tool for ingesting cloud flow logs, detecting multi-stage attack patterns, clustering related alerts into coherent incidents, and presenting the forensic findings through an intuitive dashboard. NetSleuth provides this complete workflow without requiring complex multi-server infrastructure or black-box artificial intelligence.</w:t>
      </w:r>
    </w:p>
    <w:p>
      <w:pPr>
        <w:keepNext/>
        <w:spacing w:before="320" w:after="120"/>
      </w:pPr>
      <w:r>
        <w:rPr>
          <w:rFonts w:ascii="Times New Roman" w:hAnsi="Times New Roman"/>
          <w:b/>
          <w:sz w:val="28"/>
        </w:rPr>
        <w:t>3. OBJECTIVES</w:t>
      </w:r>
    </w:p>
    <w:p>
      <w:pPr>
        <w:spacing w:before="0" w:after="120" w:line="276" w:lineRule="auto"/>
        <w:jc w:val="left"/>
      </w:pPr>
      <w:r>
        <w:rPr>
          <w:rFonts w:ascii="Times New Roman" w:hAnsi="Times New Roman"/>
          <w:sz w:val="24"/>
        </w:rPr>
        <w:t>The primary objective of NetSleuth is to simplify the forensic investigation of network security events by converting raw, unstructured flow logs into transparent, explainable incident dossiers and visual timelines.</w:t>
      </w:r>
    </w:p>
    <w:p>
      <w:pPr>
        <w:spacing w:before="0" w:after="120" w:line="276" w:lineRule="auto"/>
        <w:jc w:val="left"/>
      </w:pPr>
      <w:r>
        <w:rPr>
          <w:rFonts w:ascii="Times New Roman" w:hAnsi="Times New Roman"/>
          <w:sz w:val="24"/>
        </w:rPr>
        <w:t>The specific objectives of the project are:</w:t>
      </w:r>
    </w:p>
    <w:p>
      <w:pPr>
        <w:spacing w:before="40" w:after="60" w:line="276" w:lineRule="auto"/>
        <w:jc w:val="left"/>
      </w:pPr>
      <w:r>
        <w:rPr>
          <w:rFonts w:ascii="Times New Roman" w:hAnsi="Times New Roman"/>
          <w:b/>
          <w:sz w:val="24"/>
        </w:rPr>
        <w:t xml:space="preserve">1. To Ingest and Validate Flow Telemetry: </w:t>
      </w:r>
      <w:r>
        <w:rPr>
          <w:rFonts w:ascii="Times New Roman" w:hAnsi="Times New Roman"/>
          <w:sz w:val="24"/>
        </w:rPr>
        <w:t>Read standard AWS VPC Flow Log CSV records, validate schema integrity against required network fields, and drop corrupt or null entries without data leakage.</w:t>
      </w:r>
    </w:p>
    <w:p>
      <w:pPr>
        <w:spacing w:before="40" w:after="60" w:line="276" w:lineRule="auto"/>
        <w:jc w:val="left"/>
      </w:pPr>
      <w:r>
        <w:rPr>
          <w:rFonts w:ascii="Times New Roman" w:hAnsi="Times New Roman"/>
          <w:b/>
          <w:sz w:val="24"/>
        </w:rPr>
        <w:t xml:space="preserve">2. To Implement Sliding-Window Detection Rules: </w:t>
      </w:r>
      <w:r>
        <w:rPr>
          <w:rFonts w:ascii="Times New Roman" w:hAnsi="Times New Roman"/>
          <w:sz w:val="24"/>
        </w:rPr>
        <w:t>Develop deterministic, time-indexed detection heuristics for vertical port scans, horizontal host sweeps, and high-volume data exfiltration.</w:t>
      </w:r>
    </w:p>
    <w:p>
      <w:pPr>
        <w:spacing w:before="40" w:after="60" w:line="276" w:lineRule="auto"/>
        <w:jc w:val="left"/>
      </w:pPr>
      <w:r>
        <w:rPr>
          <w:rFonts w:ascii="Times New Roman" w:hAnsi="Times New Roman"/>
          <w:b/>
          <w:sz w:val="24"/>
        </w:rPr>
        <w:t xml:space="preserve">3. To Correlate Alerts into Unified Incidents: </w:t>
      </w:r>
      <w:r>
        <w:rPr>
          <w:rFonts w:ascii="Times New Roman" w:hAnsi="Times New Roman"/>
          <w:sz w:val="24"/>
        </w:rPr>
        <w:t>Group individual alerts into coherent security incidents based on common source IP addresses and a 5-minute (300-second) temporal session boundary.</w:t>
      </w:r>
    </w:p>
    <w:p>
      <w:pPr>
        <w:spacing w:before="40" w:after="60" w:line="276" w:lineRule="auto"/>
        <w:jc w:val="left"/>
      </w:pPr>
      <w:r>
        <w:rPr>
          <w:rFonts w:ascii="Times New Roman" w:hAnsi="Times New Roman"/>
          <w:b/>
          <w:sz w:val="24"/>
        </w:rPr>
        <w:t xml:space="preserve">4. To Provide Transparent Risk Scoring: </w:t>
      </w:r>
      <w:r>
        <w:rPr>
          <w:rFonts w:ascii="Times New Roman" w:hAnsi="Times New Roman"/>
          <w:sz w:val="24"/>
        </w:rPr>
        <w:t>Calculate an additive risk score from 0 to 100 with a line-by-line point breakdown for every contributing alert and byte threshold.</w:t>
      </w:r>
    </w:p>
    <w:p>
      <w:pPr>
        <w:spacing w:before="40" w:after="60" w:line="276" w:lineRule="auto"/>
        <w:jc w:val="left"/>
      </w:pPr>
      <w:r>
        <w:rPr>
          <w:rFonts w:ascii="Times New Roman" w:hAnsi="Times New Roman"/>
          <w:b/>
          <w:sz w:val="24"/>
        </w:rPr>
        <w:t xml:space="preserve">5. To Map Findings to the MITRE ATT&amp;CK Matrix: </w:t>
      </w:r>
      <w:r>
        <w:rPr>
          <w:rFonts w:ascii="Times New Roman" w:hAnsi="Times New Roman"/>
          <w:sz w:val="24"/>
        </w:rPr>
        <w:t>Correlate each detected activity to standard MITRE ATT&amp;CK techniques (T1046, T1018, T1048) and represent the progression along the cyber kill chain.</w:t>
      </w:r>
    </w:p>
    <w:p>
      <w:pPr>
        <w:spacing w:before="40" w:after="60" w:line="276" w:lineRule="auto"/>
        <w:jc w:val="left"/>
      </w:pPr>
      <w:r>
        <w:rPr>
          <w:rFonts w:ascii="Times New Roman" w:hAnsi="Times New Roman"/>
          <w:b/>
          <w:sz w:val="24"/>
        </w:rPr>
        <w:t xml:space="preserve">6. To Visualize Network Topology: </w:t>
      </w:r>
      <w:r>
        <w:rPr>
          <w:rFonts w:ascii="Times New Roman" w:hAnsi="Times New Roman"/>
          <w:sz w:val="24"/>
        </w:rPr>
        <w:t>Render directed host-to-host communication graphs and identify top communicating IP pairs by volume and connection frequency.</w:t>
      </w:r>
    </w:p>
    <w:p>
      <w:pPr>
        <w:spacing w:before="40" w:after="60" w:line="276" w:lineRule="auto"/>
        <w:jc w:val="left"/>
      </w:pPr>
      <w:r>
        <w:rPr>
          <w:rFonts w:ascii="Times New Roman" w:hAnsi="Times New Roman"/>
          <w:b/>
          <w:sz w:val="24"/>
        </w:rPr>
        <w:t xml:space="preserve">7. To Present Findings via an Interactive SOC Dashboard: </w:t>
      </w:r>
      <w:r>
        <w:rPr>
          <w:rFonts w:ascii="Times New Roman" w:hAnsi="Times New Roman"/>
          <w:sz w:val="24"/>
        </w:rPr>
        <w:t>Deliver a responsive 5-tab web interface built with Streamlit and Plotly for intuitive incident triage, timeline exploration, and telemetry inspection.</w:t>
      </w:r>
    </w:p>
    <w:p>
      <w:pPr>
        <w:spacing w:before="40" w:after="60" w:line="276" w:lineRule="auto"/>
        <w:jc w:val="left"/>
      </w:pPr>
      <w:r>
        <w:rPr>
          <w:rFonts w:ascii="Times New Roman" w:hAnsi="Times New Roman"/>
          <w:b/>
          <w:sz w:val="24"/>
        </w:rPr>
        <w:t xml:space="preserve">8. To Support Incident Response and Forensic Export: </w:t>
      </w:r>
      <w:r>
        <w:rPr>
          <w:rFonts w:ascii="Times New Roman" w:hAnsi="Times New Roman"/>
          <w:sz w:val="24"/>
        </w:rPr>
        <w:t>Generate prescriptive containment playbooks (Standard Operating Procedures) and exportable markdown forensic dossiers for auditing and compliance.</w:t>
      </w:r>
    </w:p>
    <w:p>
      <w:pPr>
        <w:keepNext/>
        <w:spacing w:before="320" w:after="120"/>
      </w:pPr>
      <w:r>
        <w:rPr>
          <w:rFonts w:ascii="Times New Roman" w:hAnsi="Times New Roman"/>
          <w:b/>
          <w:sz w:val="28"/>
        </w:rPr>
        <w:t>4. SCOPE OF THE PROJECT</w:t>
      </w:r>
    </w:p>
    <w:p>
      <w:pPr>
        <w:spacing w:before="0" w:after="120" w:line="276" w:lineRule="auto"/>
        <w:jc w:val="left"/>
      </w:pPr>
      <w:r>
        <w:rPr>
          <w:rFonts w:ascii="Times New Roman" w:hAnsi="Times New Roman"/>
          <w:sz w:val="24"/>
        </w:rPr>
        <w:t>NetSleuth focuses on the post-capture and near-real-time analysis of network flow logs that have been generated by cloud virtual private clouds or enterprise network devices. The system supports standard AWS VPC Flow Log version 2 CSV formats containing standard network fields such as timestamps, IP addresses, ports, protocol numbers, packets, bytes, and firewall actions.</w:t>
      </w:r>
    </w:p>
    <w:p>
      <w:pPr>
        <w:spacing w:before="0" w:after="120" w:line="276" w:lineRule="auto"/>
        <w:jc w:val="left"/>
      </w:pPr>
      <w:r>
        <w:rPr>
          <w:rFonts w:ascii="Times New Roman" w:hAnsi="Times New Roman"/>
          <w:sz w:val="24"/>
        </w:rPr>
        <w:t>The project scope encompasses data parsing, temporal sliding-window detection, multi-alert incident clustering, explainable risk scoring, MITRE ATT&amp;CK kill-chain mapping, host topology visualization, interactive telemetry filtering, and automated markdown dossier export. Eight diverse benchmark scenarios—ranging from clean benign network baselines to multi-stage enterprise intrusions—are included to evaluate system accuracy.</w:t>
      </w:r>
    </w:p>
    <w:p>
      <w:pPr>
        <w:spacing w:before="0" w:after="120" w:line="276" w:lineRule="auto"/>
        <w:jc w:val="left"/>
      </w:pPr>
      <w:r>
        <w:rPr>
          <w:rFonts w:ascii="Times New Roman" w:hAnsi="Times New Roman"/>
          <w:sz w:val="24"/>
        </w:rPr>
        <w:t>The dashboard provides an intuitive, non-overwhelming presentation suitable for security analysts, IT administrators, and university evaluators. Users can inspect incident timelines, view explainable score breakdowns, identify affected internal endpoints, review prescriptive response procedures, and examine raw flow telemetry through interactive filters.</w:t>
      </w:r>
    </w:p>
    <w:p>
      <w:pPr>
        <w:spacing w:before="0" w:after="120" w:line="276" w:lineRule="auto"/>
        <w:jc w:val="left"/>
      </w:pPr>
      <w:r>
        <w:rPr>
          <w:rFonts w:ascii="Times New Roman" w:hAnsi="Times New Roman"/>
          <w:sz w:val="24"/>
        </w:rPr>
        <w:t>The project scope is deliberately bounded to maintain simplicity, reliability, and academic focus. NetSleuth does not perform live kernel-level packet sniffing (such as libpcap/tcpdump packet capture), deep packet inspection of encrypted payloads, or direct execution of firewall changes on cloud infrastructure. It also does not employ opaque machine-learning models that cannot explain their classifications.</w:t>
      </w:r>
    </w:p>
    <w:p>
      <w:pPr>
        <w:spacing w:before="0" w:after="120" w:line="276" w:lineRule="auto"/>
        <w:jc w:val="left"/>
      </w:pPr>
      <w:r>
        <w:rPr>
          <w:rFonts w:ascii="Times New Roman" w:hAnsi="Times New Roman"/>
          <w:sz w:val="24"/>
        </w:rPr>
        <w:t>These clear boundaries ensure that NetSleuth delivers high-precision, easily auditable threat detection on commodity laptops without the prohibitive setup costs, licensing fees, and infrastructure overhead associated with commercial enterprise SIEM solutions.</w:t>
      </w:r>
    </w:p>
    <w:p>
      <w:pPr>
        <w:keepNext/>
        <w:spacing w:before="320" w:after="120"/>
      </w:pPr>
      <w:r>
        <w:rPr>
          <w:rFonts w:ascii="Times New Roman" w:hAnsi="Times New Roman"/>
          <w:b/>
          <w:sz w:val="28"/>
        </w:rPr>
        <w:t>5. PROPOSED SYSTEM</w:t>
      </w:r>
    </w:p>
    <w:p>
      <w:pPr>
        <w:spacing w:before="0" w:after="120" w:line="276" w:lineRule="auto"/>
        <w:jc w:val="left"/>
      </w:pPr>
      <w:r>
        <w:rPr>
          <w:rFonts w:ascii="Times New Roman" w:hAnsi="Times New Roman"/>
          <w:sz w:val="24"/>
        </w:rPr>
        <w:t>The proposed system provides a unified, structured workflow for transforming raw network flow records into actionable security intelligence. Instead of requiring analysts to manually write database queries or inspect thousands of log entries, NetSleuth executes an automated pipeline divided into distinct, loosely coupled processing stages.</w:t>
      </w:r>
    </w:p>
    <w:p>
      <w:pPr>
        <w:spacing w:before="0" w:after="120" w:line="276" w:lineRule="auto"/>
        <w:jc w:val="left"/>
      </w:pPr>
      <w:r>
        <w:rPr>
          <w:rFonts w:ascii="Times New Roman" w:hAnsi="Times New Roman"/>
          <w:sz w:val="24"/>
        </w:rPr>
        <w:t>The process begins with the ingestion stage. A flow log CSV file is loaded, and each row is verified for data integrity. Null values, malformed IP strings, and inverted timestamp records are isolated and dropped. Valid timestamps are normalized into standard UTC datetime objects.</w:t>
      </w:r>
    </w:p>
    <w:p>
      <w:pPr>
        <w:spacing w:before="0" w:after="120" w:line="276" w:lineRule="auto"/>
        <w:jc w:val="left"/>
      </w:pPr>
      <w:r>
        <w:rPr>
          <w:rFonts w:ascii="Times New Roman" w:hAnsi="Times New Roman"/>
          <w:sz w:val="24"/>
        </w:rPr>
        <w:t>In the detection stage, the sanitized records are evaluated by three independent sliding-window detectors. Each detector inspects a specific sliding time window (60 seconds for scanning rules, 120 seconds for exfiltration) and flags behavior that breaches configured empirical thresholds. The detection algorithms are fully deterministic, ensuring that identical flow records always yield identical alerts.</w:t>
      </w:r>
    </w:p>
    <w:p>
      <w:pPr>
        <w:spacing w:before="0" w:after="120" w:line="276" w:lineRule="auto"/>
        <w:jc w:val="left"/>
      </w:pPr>
      <w:r>
        <w:rPr>
          <w:rFonts w:ascii="Times New Roman" w:hAnsi="Times New Roman"/>
          <w:sz w:val="24"/>
        </w:rPr>
        <w:t>In the correlation and scoring stage, discrete alerts originating from the same source IP within a 300-second session window are grouped into a single unified incident. The incident is assigned an explainable priority score between 0 and 100 based on the maximum base severity, additional correlated alert count, and total exfiltrated byte volume. The incident is enriched with MITRE ATT&amp;CK technique IDs and prescriptive containment steps.</w:t>
      </w:r>
    </w:p>
    <w:p>
      <w:pPr>
        <w:spacing w:before="0" w:after="120" w:line="276" w:lineRule="auto"/>
        <w:jc w:val="left"/>
      </w:pPr>
      <w:r>
        <w:rPr>
          <w:rFonts w:ascii="Times New Roman" w:hAnsi="Times New Roman"/>
          <w:sz w:val="24"/>
        </w:rPr>
        <w:t>Finally, the results are rendered in an interactive, 5-tab dashboard. Analysts can visually track attack progression, explore the network topology, filter raw telemetry, and export a formal markdown dossier for incident documentation.</w:t>
      </w:r>
    </w:p>
    <w:p>
      <w:pPr>
        <w:keepNext/>
        <w:spacing w:before="320" w:after="120"/>
      </w:pPr>
      <w:r>
        <w:rPr>
          <w:rFonts w:ascii="Times New Roman" w:hAnsi="Times New Roman"/>
          <w:b/>
          <w:sz w:val="28"/>
        </w:rPr>
        <w:t>6. SYSTEM ARCHITECTURE</w:t>
      </w:r>
    </w:p>
    <w:p>
      <w:pPr>
        <w:spacing w:before="0" w:after="120" w:line="276" w:lineRule="auto"/>
        <w:jc w:val="left"/>
      </w:pPr>
      <w:r>
        <w:rPr>
          <w:rFonts w:ascii="Times New Roman" w:hAnsi="Times New Roman"/>
          <w:sz w:val="24"/>
        </w:rPr>
        <w:t>The architecture of NetSleuth is designed as a linear, multi-stage processing pipeline where each module has a distinct responsibility. This modular design ensures code clarity, testability, and maintainability. The five core stages of the system architecture are described below:</w:t>
      </w:r>
    </w:p>
    <w:p>
      <w:pPr>
        <w:spacing w:before="0" w:after="120" w:line="276" w:lineRule="auto"/>
        <w:jc w:val="left"/>
      </w:pPr>
      <w:r>
        <w:rPr>
          <w:rFonts w:ascii="Times New Roman" w:hAnsi="Times New Roman"/>
          <w:b/>
          <w:sz w:val="24"/>
        </w:rPr>
        <w:t xml:space="preserve">Stage 1: </w:t>
      </w:r>
      <w:r>
        <w:rPr>
          <w:rFonts w:ascii="Times New Roman" w:hAnsi="Times New Roman"/>
          <w:sz w:val="24"/>
        </w:rPr>
        <w:t>1. Ingestion and Sanitization Stage: Reads raw CSV flow records, validates the schema against required VPC flow fields, handles corrupted or missing values, and normalizes epoch timestamps into UTC datetime objects.</w:t>
      </w:r>
    </w:p>
    <w:p>
      <w:pPr>
        <w:spacing w:before="0" w:after="120" w:line="276" w:lineRule="auto"/>
        <w:jc w:val="left"/>
      </w:pPr>
      <w:r>
        <w:rPr>
          <w:rFonts w:ascii="Times New Roman" w:hAnsi="Times New Roman"/>
          <w:b/>
          <w:sz w:val="24"/>
        </w:rPr>
        <w:t xml:space="preserve">Stage 2: </w:t>
      </w:r>
      <w:r>
        <w:rPr>
          <w:rFonts w:ascii="Times New Roman" w:hAnsi="Times New Roman"/>
          <w:sz w:val="24"/>
        </w:rPr>
        <w:t>2. Sliding-Window Detection Stage: Evaluates time-indexed flow records using deterministic sliding windows to identify vertical port scans (T1046), horizontal host sweeps (T1018), and high-volume data exfiltration (T1048).</w:t>
      </w:r>
    </w:p>
    <w:p>
      <w:pPr>
        <w:spacing w:before="0" w:after="120" w:line="276" w:lineRule="auto"/>
        <w:jc w:val="left"/>
      </w:pPr>
      <w:r>
        <w:rPr>
          <w:rFonts w:ascii="Times New Roman" w:hAnsi="Times New Roman"/>
          <w:b/>
          <w:sz w:val="24"/>
        </w:rPr>
        <w:t xml:space="preserve">Stage 3: </w:t>
      </w:r>
      <w:r>
        <w:rPr>
          <w:rFonts w:ascii="Times New Roman" w:hAnsi="Times New Roman"/>
          <w:sz w:val="24"/>
        </w:rPr>
        <w:t>3. Incident Correlation Stage: Clusters discrete alert events sharing the same source IP into unified incident objects if they occur within a 300-second (5-minute) temporal boundary.</w:t>
      </w:r>
    </w:p>
    <w:p>
      <w:pPr>
        <w:spacing w:before="0" w:after="120" w:line="276" w:lineRule="auto"/>
        <w:jc w:val="left"/>
      </w:pPr>
      <w:r>
        <w:rPr>
          <w:rFonts w:ascii="Times New Roman" w:hAnsi="Times New Roman"/>
          <w:b/>
          <w:sz w:val="24"/>
        </w:rPr>
        <w:t xml:space="preserve">Stage 4: </w:t>
      </w:r>
      <w:r>
        <w:rPr>
          <w:rFonts w:ascii="Times New Roman" w:hAnsi="Times New Roman"/>
          <w:sz w:val="24"/>
        </w:rPr>
        <w:t>4. Explainable Risk Assessment Stage: Computes transparent 0–100 risk scores using additive point rules, maps alerts to the MITRE ATT&amp;CK matrix, and attaches prescriptive containment playbooks.</w:t>
      </w:r>
    </w:p>
    <w:p>
      <w:pPr>
        <w:spacing w:before="0" w:after="120" w:line="276" w:lineRule="auto"/>
        <w:jc w:val="left"/>
      </w:pPr>
      <w:r>
        <w:rPr>
          <w:rFonts w:ascii="Times New Roman" w:hAnsi="Times New Roman"/>
          <w:b/>
          <w:sz w:val="24"/>
        </w:rPr>
        <w:t xml:space="preserve">Stage 5: </w:t>
      </w:r>
      <w:r>
        <w:rPr>
          <w:rFonts w:ascii="Times New Roman" w:hAnsi="Times New Roman"/>
          <w:sz w:val="24"/>
        </w:rPr>
        <w:t>5. Presentation and Visualization Stage: Displays the findings across five specialized dashboard tabs in Streamlit, renders interactive Plotly network graphs, and provides one-click markdown dossier export.</w:t>
      </w:r>
    </w:p>
    <w:p>
      <w:pPr>
        <w:spacing w:before="160" w:after="80"/>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netsleuth_architecture.png"/>
                    <pic:cNvPicPr/>
                  </pic:nvPicPr>
                  <pic:blipFill>
                    <a:blip r:embed="rId9"/>
                    <a:stretch>
                      <a:fillRect/>
                    </a:stretch>
                  </pic:blipFill>
                  <pic:spPr>
                    <a:xfrm>
                      <a:off x="0" y="0"/>
                      <a:ext cx="5669280" cy="3239589"/>
                    </a:xfrm>
                    <a:prstGeom prst="rect"/>
                  </pic:spPr>
                </pic:pic>
              </a:graphicData>
            </a:graphic>
          </wp:inline>
        </w:drawing>
      </w:r>
    </w:p>
    <w:p>
      <w:pPr>
        <w:spacing w:before="40" w:after="240"/>
        <w:jc w:val="center"/>
      </w:pPr>
      <w:r>
        <w:rPr>
          <w:rFonts w:ascii="Times New Roman" w:hAnsi="Times New Roman"/>
          <w:i/>
          <w:sz w:val="20"/>
        </w:rPr>
        <w:t>Figure 6.1: NetSleuth Multi-Stage System Architecture &amp; Processing Pipeline</w:t>
      </w:r>
    </w:p>
    <w:p>
      <w:pPr>
        <w:keepNext/>
        <w:spacing w:before="320" w:after="120"/>
      </w:pPr>
      <w:r>
        <w:rPr>
          <w:rFonts w:ascii="Times New Roman" w:hAnsi="Times New Roman"/>
          <w:b/>
          <w:sz w:val="28"/>
        </w:rPr>
        <w:t>7. TOOLS AND TECHNOLOGIES USED</w:t>
      </w:r>
    </w:p>
    <w:p>
      <w:pPr>
        <w:spacing w:before="0" w:after="120" w:line="276" w:lineRule="auto"/>
        <w:jc w:val="left"/>
      </w:pPr>
      <w:r>
        <w:rPr>
          <w:rFonts w:ascii="Times New Roman" w:hAnsi="Times New Roman"/>
          <w:sz w:val="24"/>
        </w:rPr>
        <w:t>NetSleuth is implemented using modern, open-source Python technologies chosen for performance, simplicity, and ease of deployment.</w:t>
      </w:r>
    </w:p>
    <w:p>
      <w:pPr>
        <w:spacing w:before="60" w:after="80" w:line="276" w:lineRule="auto"/>
        <w:jc w:val="left"/>
      </w:pPr>
      <w:r>
        <w:rPr>
          <w:rFonts w:ascii="Times New Roman" w:hAnsi="Times New Roman"/>
          <w:b/>
          <w:sz w:val="24"/>
        </w:rPr>
        <w:t xml:space="preserve">Python 3.12: </w:t>
      </w:r>
      <w:r>
        <w:rPr>
          <w:rFonts w:ascii="Times New Roman" w:hAnsi="Times New Roman"/>
          <w:sz w:val="24"/>
        </w:rPr>
        <w:t>The core programming language used for the data ingestion, sliding-window detection algorithms, incident correlation, and scoring engine. Python offers robust built-in data structures and extensive standard libraries.</w:t>
      </w:r>
    </w:p>
    <w:p>
      <w:pPr>
        <w:spacing w:before="60" w:after="80" w:line="276" w:lineRule="auto"/>
        <w:jc w:val="left"/>
      </w:pPr>
      <w:r>
        <w:rPr>
          <w:rFonts w:ascii="Times New Roman" w:hAnsi="Times New Roman"/>
          <w:b/>
          <w:sz w:val="24"/>
        </w:rPr>
        <w:t xml:space="preserve">Streamlit: </w:t>
      </w:r>
      <w:r>
        <w:rPr>
          <w:rFonts w:ascii="Times New Roman" w:hAnsi="Times New Roman"/>
          <w:sz w:val="24"/>
        </w:rPr>
        <w:t>A powerful Python web application framework used to construct the interactive Security Operations Center (SOC) dashboard. It enables rapid development of reactive web controls, tabbed views, metrics, and data tables without requiring complex front-end frameworks.</w:t>
      </w:r>
    </w:p>
    <w:p>
      <w:pPr>
        <w:spacing w:before="60" w:after="80" w:line="276" w:lineRule="auto"/>
        <w:jc w:val="left"/>
      </w:pPr>
      <w:r>
        <w:rPr>
          <w:rFonts w:ascii="Times New Roman" w:hAnsi="Times New Roman"/>
          <w:b/>
          <w:sz w:val="24"/>
        </w:rPr>
        <w:t xml:space="preserve">Pandas &amp; NumPy: </w:t>
      </w:r>
      <w:r>
        <w:rPr>
          <w:rFonts w:ascii="Times New Roman" w:hAnsi="Times New Roman"/>
          <w:sz w:val="24"/>
        </w:rPr>
        <w:t>High-performance data manipulation libraries used for vectorised flow record filtering, timestamp grouping, column normalization, and tabular reporting.</w:t>
      </w:r>
    </w:p>
    <w:p>
      <w:pPr>
        <w:spacing w:before="60" w:after="80" w:line="276" w:lineRule="auto"/>
        <w:jc w:val="left"/>
      </w:pPr>
      <w:r>
        <w:rPr>
          <w:rFonts w:ascii="Times New Roman" w:hAnsi="Times New Roman"/>
          <w:b/>
          <w:sz w:val="24"/>
        </w:rPr>
        <w:t xml:space="preserve">Plotly &amp; NetworkX: </w:t>
      </w:r>
      <w:r>
        <w:rPr>
          <w:rFonts w:ascii="Times New Roman" w:hAnsi="Times New Roman"/>
          <w:sz w:val="24"/>
        </w:rPr>
        <w:t>Plotly is used for interactive data visualizations including the chronological attack progression timeline and telemetry breakdown charts. NetworkX is used to construct directed network graphs and calculate spring layouts for topological host mapping.</w:t>
      </w:r>
    </w:p>
    <w:p>
      <w:pPr>
        <w:spacing w:before="60" w:after="80" w:line="276" w:lineRule="auto"/>
        <w:jc w:val="left"/>
      </w:pPr>
      <w:r>
        <w:rPr>
          <w:rFonts w:ascii="Times New Roman" w:hAnsi="Times New Roman"/>
          <w:b/>
          <w:sz w:val="24"/>
        </w:rPr>
        <w:t xml:space="preserve">Pytest: </w:t>
      </w:r>
      <w:r>
        <w:rPr>
          <w:rFonts w:ascii="Times New Roman" w:hAnsi="Times New Roman"/>
          <w:sz w:val="24"/>
        </w:rPr>
        <w:t>An automated unit testing framework used to validate detection boundary conditions, temporal session clustering, scoring limits, and zero-label-leakage constraints.</w:t>
      </w:r>
    </w:p>
    <w:p>
      <w:pPr>
        <w:spacing w:before="60" w:after="80" w:line="276" w:lineRule="auto"/>
        <w:jc w:val="left"/>
      </w:pPr>
      <w:r>
        <w:rPr>
          <w:rFonts w:ascii="Times New Roman" w:hAnsi="Times New Roman"/>
          <w:b/>
          <w:sz w:val="24"/>
        </w:rPr>
        <w:t xml:space="preserve">CSV Telemetry Format: </w:t>
      </w:r>
      <w:r>
        <w:rPr>
          <w:rFonts w:ascii="Times New Roman" w:hAnsi="Times New Roman"/>
          <w:sz w:val="24"/>
        </w:rPr>
        <w:t>Comma-Separated Values format is used as the standardized storage representation for AWS VPC Flow Logs, ensuring broad interoperability across cloud providers and forensic tools.</w:t>
      </w:r>
    </w:p>
    <w:p>
      <w:pPr>
        <w:keepNext/>
        <w:spacing w:before="320" w:after="120"/>
      </w:pPr>
      <w:r>
        <w:rPr>
          <w:rFonts w:ascii="Times New Roman" w:hAnsi="Times New Roman"/>
          <w:b/>
          <w:sz w:val="28"/>
        </w:rPr>
        <w:t>8. MODULE DESCRIPTION</w:t>
      </w:r>
    </w:p>
    <w:p>
      <w:pPr>
        <w:spacing w:before="0" w:after="120" w:line="276" w:lineRule="auto"/>
        <w:jc w:val="left"/>
      </w:pPr>
      <w:r>
        <w:rPr>
          <w:rFonts w:ascii="Times New Roman" w:hAnsi="Times New Roman"/>
          <w:sz w:val="24"/>
        </w:rPr>
        <w:t>The NetSleuth codebase is organized into modular components adhering to clean separation of concerns. The primary source code modules and their responsibilities are detailed below:</w:t>
      </w:r>
    </w:p>
    <w:p>
      <w:pPr>
        <w:spacing w:before="60" w:after="80" w:line="276" w:lineRule="auto"/>
        <w:jc w:val="left"/>
      </w:pPr>
      <w:r>
        <w:rPr>
          <w:rFonts w:ascii="Times New Roman" w:hAnsi="Times New Roman"/>
          <w:b/>
          <w:sz w:val="24"/>
        </w:rPr>
        <w:t xml:space="preserve">1. app.py — Security Operations Dashboard: </w:t>
      </w:r>
      <w:r>
        <w:rPr>
          <w:rFonts w:ascii="Times New Roman" w:hAnsi="Times New Roman"/>
          <w:sz w:val="24"/>
        </w:rPr>
        <w:t>The central entry point providing the interactive web interface. Configures the executive SOC banner, 5 KPI summary tiles, sidebar scenario selector, and five specialized analytical tabs (Threat Incidents, Attack Timeline, Network Topology, Flow Telemetry, and Forensic Dossier).</w:t>
      </w:r>
    </w:p>
    <w:p>
      <w:pPr>
        <w:spacing w:before="60" w:after="80" w:line="276" w:lineRule="auto"/>
        <w:jc w:val="left"/>
      </w:pPr>
      <w:r>
        <w:rPr>
          <w:rFonts w:ascii="Times New Roman" w:hAnsi="Times New Roman"/>
          <w:b/>
          <w:sz w:val="24"/>
        </w:rPr>
        <w:t xml:space="preserve">2. loader.py — Flow Ingestion and Sanitization: </w:t>
      </w:r>
      <w:r>
        <w:rPr>
          <w:rFonts w:ascii="Times New Roman" w:hAnsi="Times New Roman"/>
          <w:sz w:val="24"/>
        </w:rPr>
        <w:t>Responsible for parsing CSV flow logs, enforcing schema definitions, handling missing or corrupt data, and converting integer epoch timestamps into standardized UTC datetime objects.</w:t>
      </w:r>
    </w:p>
    <w:p>
      <w:pPr>
        <w:spacing w:before="60" w:after="80" w:line="276" w:lineRule="auto"/>
        <w:jc w:val="left"/>
      </w:pPr>
      <w:r>
        <w:rPr>
          <w:rFonts w:ascii="Times New Roman" w:hAnsi="Times New Roman"/>
          <w:b/>
          <w:sz w:val="24"/>
        </w:rPr>
        <w:t xml:space="preserve">3. detectors.py — Sliding-Window Detection Rules: </w:t>
      </w:r>
      <w:r>
        <w:rPr>
          <w:rFonts w:ascii="Times New Roman" w:hAnsi="Times New Roman"/>
          <w:sz w:val="24"/>
        </w:rPr>
        <w:t>Implements the three core detection heuristics: detect_port_scan (vertical probe detection), detect_host_scan (horizontal lateral sweep detection), and detect_exfiltration (outbound high-volume data theft).</w:t>
      </w:r>
    </w:p>
    <w:p>
      <w:pPr>
        <w:spacing w:before="60" w:after="80" w:line="276" w:lineRule="auto"/>
        <w:jc w:val="left"/>
      </w:pPr>
      <w:r>
        <w:rPr>
          <w:rFonts w:ascii="Times New Roman" w:hAnsi="Times New Roman"/>
          <w:b/>
          <w:sz w:val="24"/>
        </w:rPr>
        <w:t xml:space="preserve">4. incidents.py — Correlation, Scoring, and Reporting: </w:t>
      </w:r>
      <w:r>
        <w:rPr>
          <w:rFonts w:ascii="Times New Roman" w:hAnsi="Times New Roman"/>
          <w:sz w:val="24"/>
        </w:rPr>
        <w:t>Clusters discrete alerts by source IP across a 300-second session window, computes additive 0–100 risk scores, attaches MITRE ATT&amp;CK technique tags, generates prescriptive containment playbooks, and formats markdown forensic dossiers.</w:t>
      </w:r>
    </w:p>
    <w:p>
      <w:pPr>
        <w:spacing w:before="60" w:after="80" w:line="276" w:lineRule="auto"/>
        <w:jc w:val="left"/>
      </w:pPr>
      <w:r>
        <w:rPr>
          <w:rFonts w:ascii="Times New Roman" w:hAnsi="Times New Roman"/>
          <w:b/>
          <w:sz w:val="24"/>
        </w:rPr>
        <w:t xml:space="preserve">5. graph.py — Network Topology Analysis: </w:t>
      </w:r>
      <w:r>
        <w:rPr>
          <w:rFonts w:ascii="Times New Roman" w:hAnsi="Times New Roman"/>
          <w:sz w:val="24"/>
        </w:rPr>
        <w:t>Constructs directed network graphs of host communications using NetworkX, computes spring-layout coordinates, colors nodes by operational role (attacker, victim, normal host), and calculates top communicating host pairs.</w:t>
      </w:r>
    </w:p>
    <w:p>
      <w:pPr>
        <w:spacing w:before="60" w:after="80" w:line="276" w:lineRule="auto"/>
        <w:jc w:val="left"/>
      </w:pPr>
      <w:r>
        <w:rPr>
          <w:rFonts w:ascii="Times New Roman" w:hAnsi="Times New Roman"/>
          <w:b/>
          <w:sz w:val="24"/>
        </w:rPr>
        <w:t xml:space="preserve">6. config.py — Centralized Parameter Repository: </w:t>
      </w:r>
      <w:r>
        <w:rPr>
          <w:rFonts w:ascii="Times New Roman" w:hAnsi="Times New Roman"/>
          <w:sz w:val="24"/>
        </w:rPr>
        <w:t>Houses all detection thresholds, time window durations, base severity weights, and MITRE ATT&amp;CK technique definitions. Eliminates undocumented magic numbers across the codebase.</w:t>
      </w:r>
    </w:p>
    <w:p>
      <w:pPr>
        <w:spacing w:before="60" w:after="80" w:line="276" w:lineRule="auto"/>
        <w:jc w:val="left"/>
      </w:pPr>
      <w:r>
        <w:rPr>
          <w:rFonts w:ascii="Times New Roman" w:hAnsi="Times New Roman"/>
          <w:b/>
          <w:sz w:val="24"/>
        </w:rPr>
        <w:t xml:space="preserve">7. synthetic.py — Benchmark Scenario Generator: </w:t>
      </w:r>
      <w:r>
        <w:rPr>
          <w:rFonts w:ascii="Times New Roman" w:hAnsi="Times New Roman"/>
          <w:sz w:val="24"/>
        </w:rPr>
        <w:t>Contains synthetic traffic generators that create reproducible, ground-truth-labeled flow logs representing benign baselines and seven distinct attack scenarios.</w:t>
      </w:r>
    </w:p>
    <w:p>
      <w:pPr>
        <w:spacing w:before="60" w:after="80" w:line="276" w:lineRule="auto"/>
        <w:jc w:val="left"/>
      </w:pPr>
      <w:r>
        <w:rPr>
          <w:rFonts w:ascii="Times New Roman" w:hAnsi="Times New Roman"/>
          <w:b/>
          <w:sz w:val="24"/>
        </w:rPr>
        <w:t xml:space="preserve">8. evaluation.py — Accuracy and Metric Benchmarking: </w:t>
      </w:r>
      <w:r>
        <w:rPr>
          <w:rFonts w:ascii="Times New Roman" w:hAnsi="Times New Roman"/>
          <w:sz w:val="24"/>
        </w:rPr>
        <w:t>Evaluates detection precision, recall, and F1-score by comparing heuristic alert outputs against ground-truth synthetic labels across all scenarios.</w:t>
      </w:r>
    </w:p>
    <w:p>
      <w:pPr>
        <w:spacing w:before="60" w:after="80" w:line="276" w:lineRule="auto"/>
        <w:jc w:val="left"/>
      </w:pPr>
      <w:r>
        <w:rPr>
          <w:rFonts w:ascii="Times New Roman" w:hAnsi="Times New Roman"/>
          <w:b/>
          <w:sz w:val="24"/>
        </w:rPr>
        <w:t xml:space="preserve">9. test_netsleuth.py — Automated Test Suite: </w:t>
      </w:r>
      <w:r>
        <w:rPr>
          <w:rFonts w:ascii="Times New Roman" w:hAnsi="Times New Roman"/>
          <w:sz w:val="24"/>
        </w:rPr>
        <w:t>Contains ten rigorous unit tests validating threshold boundary conditions, scoring ceilings, loader error-handling, and zero label leakage.</w:t>
      </w:r>
    </w:p>
    <w:p>
      <w:pPr>
        <w:keepNext/>
        <w:spacing w:before="320" w:after="120"/>
      </w:pPr>
      <w:r>
        <w:rPr>
          <w:rFonts w:ascii="Times New Roman" w:hAnsi="Times New Roman"/>
          <w:b/>
          <w:sz w:val="28"/>
        </w:rPr>
        <w:t>9. WORKING METHODOLOGY</w:t>
      </w:r>
    </w:p>
    <w:p>
      <w:pPr>
        <w:spacing w:before="0" w:after="120" w:line="276" w:lineRule="auto"/>
        <w:jc w:val="left"/>
      </w:pPr>
      <w:r>
        <w:rPr>
          <w:rFonts w:ascii="Times New Roman" w:hAnsi="Times New Roman"/>
          <w:sz w:val="24"/>
        </w:rPr>
        <w:t>The working methodology of NetSleuth follows a structured, step-by-step process that transforms raw network telemetry into actionable forensic insights:</w:t>
      </w:r>
    </w:p>
    <w:p>
      <w:pPr>
        <w:spacing w:before="60" w:after="80" w:line="276" w:lineRule="auto"/>
        <w:jc w:val="left"/>
      </w:pPr>
      <w:r>
        <w:rPr>
          <w:rFonts w:ascii="Times New Roman" w:hAnsi="Times New Roman"/>
          <w:b/>
          <w:sz w:val="24"/>
        </w:rPr>
        <w:t xml:space="preserve">Step 1: Telemetry Selection and Ingestion — </w:t>
      </w:r>
      <w:r>
        <w:rPr>
          <w:rFonts w:ascii="Times New Roman" w:hAnsi="Times New Roman"/>
          <w:sz w:val="24"/>
        </w:rPr>
        <w:t>The user selects an active scenario from the sidebar (or supplies a custom VPC flow CSV file). The system reads the raw data into an in-memory Pandas DataFrame.</w:t>
      </w:r>
    </w:p>
    <w:p>
      <w:pPr>
        <w:spacing w:before="60" w:after="80" w:line="276" w:lineRule="auto"/>
        <w:jc w:val="left"/>
      </w:pPr>
      <w:r>
        <w:rPr>
          <w:rFonts w:ascii="Times New Roman" w:hAnsi="Times New Roman"/>
          <w:b/>
          <w:sz w:val="24"/>
        </w:rPr>
        <w:t xml:space="preserve">Step 2: Schema Validation and Data Cleansing — </w:t>
      </w:r>
      <w:r>
        <w:rPr>
          <w:rFonts w:ascii="Times New Roman" w:hAnsi="Times New Roman"/>
          <w:sz w:val="24"/>
        </w:rPr>
        <w:t>The loader verifies the presence of required network headers (src_ip, dst_ip, src_port, dst_port, protocol, bytes, action, start, end). Malformed rows with null values or invalid IP addresses are dropped, and corrupted row counts are reported on the dashboard.</w:t>
      </w:r>
    </w:p>
    <w:p>
      <w:pPr>
        <w:spacing w:before="60" w:after="80" w:line="276" w:lineRule="auto"/>
        <w:jc w:val="left"/>
      </w:pPr>
      <w:r>
        <w:rPr>
          <w:rFonts w:ascii="Times New Roman" w:hAnsi="Times New Roman"/>
          <w:b/>
          <w:sz w:val="24"/>
        </w:rPr>
        <w:t xml:space="preserve">Step 3: Sliding-Window Heuristic Evaluation — </w:t>
      </w:r>
      <w:r>
        <w:rPr>
          <w:rFonts w:ascii="Times New Roman" w:hAnsi="Times New Roman"/>
          <w:sz w:val="24"/>
        </w:rPr>
        <w:t>The detection engine executes the three sliding-window algorithms in sequence. Each detector rolls through time-indexed records for each source IP to identify threshold violations.</w:t>
      </w:r>
    </w:p>
    <w:p>
      <w:pPr>
        <w:spacing w:before="60" w:after="80" w:line="276" w:lineRule="auto"/>
        <w:jc w:val="left"/>
      </w:pPr>
      <w:r>
        <w:rPr>
          <w:rFonts w:ascii="Times New Roman" w:hAnsi="Times New Roman"/>
          <w:b/>
          <w:sz w:val="24"/>
        </w:rPr>
        <w:t xml:space="preserve">Step 4: Temporal Alert Correlation — </w:t>
      </w:r>
      <w:r>
        <w:rPr>
          <w:rFonts w:ascii="Times New Roman" w:hAnsi="Times New Roman"/>
          <w:sz w:val="24"/>
        </w:rPr>
        <w:t>Alerts generated across all detectors are aggregated. Alerts originating from the same source IP with an inter-event gap of 300 seconds or less are clustered into a unified incident.</w:t>
      </w:r>
    </w:p>
    <w:p>
      <w:pPr>
        <w:spacing w:before="60" w:after="80" w:line="276" w:lineRule="auto"/>
        <w:jc w:val="left"/>
      </w:pPr>
      <w:r>
        <w:rPr>
          <w:rFonts w:ascii="Times New Roman" w:hAnsi="Times New Roman"/>
          <w:b/>
          <w:sz w:val="24"/>
        </w:rPr>
        <w:t xml:space="preserve">Step 5: Explainable Risk Scoring — </w:t>
      </w:r>
      <w:r>
        <w:rPr>
          <w:rFonts w:ascii="Times New Roman" w:hAnsi="Times New Roman"/>
          <w:sz w:val="24"/>
        </w:rPr>
        <w:t>The scoring engine computes the total priority score (0–100) using the highest base alert severity, additional correlated alert count, and total exfiltrated byte volume. A human-readable audit trail is generated.</w:t>
      </w:r>
    </w:p>
    <w:p>
      <w:pPr>
        <w:spacing w:before="60" w:after="80" w:line="276" w:lineRule="auto"/>
        <w:jc w:val="left"/>
      </w:pPr>
      <w:r>
        <w:rPr>
          <w:rFonts w:ascii="Times New Roman" w:hAnsi="Times New Roman"/>
          <w:b/>
          <w:sz w:val="24"/>
        </w:rPr>
        <w:t xml:space="preserve">Step 6: MITRE Enrichment and Playbook Generation — </w:t>
      </w:r>
      <w:r>
        <w:rPr>
          <w:rFonts w:ascii="Times New Roman" w:hAnsi="Times New Roman"/>
          <w:sz w:val="24"/>
        </w:rPr>
        <w:t>Triggered rules are mapped to the MITRE ATT&amp;CK Enterprise Matrix (T1046, T1018, T1048), determining the kill chain stage and populating prescriptive response steps.</w:t>
      </w:r>
    </w:p>
    <w:p>
      <w:pPr>
        <w:spacing w:before="60" w:after="80" w:line="276" w:lineRule="auto"/>
        <w:jc w:val="left"/>
      </w:pPr>
      <w:r>
        <w:rPr>
          <w:rFonts w:ascii="Times New Roman" w:hAnsi="Times New Roman"/>
          <w:b/>
          <w:sz w:val="24"/>
        </w:rPr>
        <w:t xml:space="preserve">Step 7: Visual Presentation and Forensic Dossier Export — </w:t>
      </w:r>
      <w:r>
        <w:rPr>
          <w:rFonts w:ascii="Times New Roman" w:hAnsi="Times New Roman"/>
          <w:sz w:val="24"/>
        </w:rPr>
        <w:t>The dashboard displays the correlated incidents, renders the interactive topology graph, populates the chronological timeline, and allows one-click export of the formal forensic dossier.</w:t>
      </w:r>
    </w:p>
    <w:p>
      <w:pPr>
        <w:keepNext/>
        <w:spacing w:before="320" w:after="120"/>
      </w:pPr>
      <w:r>
        <w:rPr>
          <w:rFonts w:ascii="Times New Roman" w:hAnsi="Times New Roman"/>
          <w:b/>
          <w:sz w:val="28"/>
        </w:rPr>
        <w:t>10. RISK SCORING AND ALERT SEVERITY</w:t>
      </w:r>
    </w:p>
    <w:p>
      <w:pPr>
        <w:spacing w:before="0" w:after="120" w:line="276" w:lineRule="auto"/>
        <w:jc w:val="left"/>
      </w:pPr>
      <w:r>
        <w:rPr>
          <w:rFonts w:ascii="Times New Roman" w:hAnsi="Times New Roman"/>
          <w:sz w:val="24"/>
        </w:rPr>
        <w:t>Risk scoring in NetSleuth is designed to prioritize incidents transparently without relying on unexplainable machine learning models. Every score is computed using deterministic, additive rules defined in config.py.</w:t>
      </w:r>
    </w:p>
    <w:p>
      <w:pPr>
        <w:spacing w:before="0" w:after="120" w:line="276" w:lineRule="auto"/>
        <w:jc w:val="left"/>
      </w:pPr>
      <w:r>
        <w:rPr>
          <w:rFonts w:ascii="Times New Roman" w:hAnsi="Times New Roman"/>
          <w:sz w:val="24"/>
        </w:rPr>
        <w:t>The three primary threat categories and their baseline detection specifications are outlined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E2E8F0"/>
            <w:tcMar>
              <w:top w:w="120" w:type="dxa"/>
              <w:bottom w:w="120" w:type="dxa"/>
              <w:left w:w="150" w:type="dxa"/>
              <w:right w:w="150" w:type="dxa"/>
            </w:tcMar>
          </w:tcPr>
          <w:p>
            <w:pPr>
              <w:spacing w:before="40" w:after="40"/>
            </w:pPr>
            <w:r/>
            <w:r>
              <w:rPr>
                <w:rFonts w:ascii="Times New Roman" w:hAnsi="Times New Roman"/>
                <w:b/>
                <w:sz w:val="21"/>
              </w:rPr>
              <w:t>Detected Event</w:t>
            </w:r>
          </w:p>
        </w:tc>
        <w:tc>
          <w:tcPr>
            <w:tcW w:type="dxa" w:w="1440"/>
            <w:shd w:fill="E2E8F0"/>
            <w:tcMar>
              <w:top w:w="120" w:type="dxa"/>
              <w:bottom w:w="120" w:type="dxa"/>
              <w:left w:w="150" w:type="dxa"/>
              <w:right w:w="150" w:type="dxa"/>
            </w:tcMar>
          </w:tcPr>
          <w:p>
            <w:pPr>
              <w:spacing w:before="40" w:after="40"/>
            </w:pPr>
            <w:r/>
            <w:r>
              <w:rPr>
                <w:rFonts w:ascii="Times New Roman" w:hAnsi="Times New Roman"/>
                <w:b/>
                <w:sz w:val="21"/>
              </w:rPr>
              <w:t>Rule Name</w:t>
            </w:r>
          </w:p>
        </w:tc>
        <w:tc>
          <w:tcPr>
            <w:tcW w:type="dxa" w:w="2160"/>
            <w:shd w:fill="E2E8F0"/>
            <w:tcMar>
              <w:top w:w="120" w:type="dxa"/>
              <w:bottom w:w="120" w:type="dxa"/>
              <w:left w:w="150" w:type="dxa"/>
              <w:right w:w="150" w:type="dxa"/>
            </w:tcMar>
          </w:tcPr>
          <w:p>
            <w:pPr>
              <w:spacing w:before="40" w:after="40"/>
            </w:pPr>
            <w:r/>
            <w:r>
              <w:rPr>
                <w:rFonts w:ascii="Times New Roman" w:hAnsi="Times New Roman"/>
                <w:b/>
                <w:sz w:val="21"/>
              </w:rPr>
              <w:t>Detection Condition</w:t>
            </w:r>
          </w:p>
        </w:tc>
        <w:tc>
          <w:tcPr>
            <w:tcW w:type="dxa" w:w="2160"/>
            <w:shd w:fill="E2E8F0"/>
            <w:tcMar>
              <w:top w:w="120" w:type="dxa"/>
              <w:bottom w:w="120" w:type="dxa"/>
              <w:left w:w="150" w:type="dxa"/>
              <w:right w:w="150" w:type="dxa"/>
            </w:tcMar>
          </w:tcPr>
          <w:p>
            <w:pPr>
              <w:spacing w:before="40" w:after="40"/>
            </w:pPr>
            <w:r/>
            <w:r>
              <w:rPr>
                <w:rFonts w:ascii="Times New Roman" w:hAnsi="Times New Roman"/>
                <w:b/>
                <w:sz w:val="21"/>
              </w:rPr>
              <w:t>MITRE Technique</w:t>
            </w:r>
          </w:p>
        </w:tc>
        <w:tc>
          <w:tcPr>
            <w:tcW w:type="dxa" w:w="1152"/>
            <w:shd w:fill="E2E8F0"/>
            <w:tcMar>
              <w:top w:w="120" w:type="dxa"/>
              <w:bottom w:w="120" w:type="dxa"/>
              <w:left w:w="150" w:type="dxa"/>
              <w:right w:w="150" w:type="dxa"/>
            </w:tcMar>
          </w:tcPr>
          <w:p>
            <w:pPr>
              <w:spacing w:before="40" w:after="40"/>
            </w:pPr>
            <w:r/>
            <w:r>
              <w:rPr>
                <w:rFonts w:ascii="Times New Roman" w:hAnsi="Times New Roman"/>
                <w:b/>
                <w:sz w:val="21"/>
              </w:rPr>
              <w:t>Base Severity</w:t>
            </w:r>
          </w:p>
        </w:tc>
        <w:tc>
          <w:tcPr>
            <w:tcW w:type="dxa" w:w="1008"/>
            <w:shd w:fill="E2E8F0"/>
            <w:tcMar>
              <w:top w:w="120" w:type="dxa"/>
              <w:bottom w:w="120" w:type="dxa"/>
              <w:left w:w="150" w:type="dxa"/>
              <w:right w:w="150" w:type="dxa"/>
            </w:tcMar>
          </w:tcPr>
          <w:p>
            <w:pPr>
              <w:spacing w:before="40" w:after="40"/>
            </w:pPr>
            <w:r/>
            <w:r>
              <w:rPr>
                <w:rFonts w:ascii="Times New Roman" w:hAnsi="Times New Roman"/>
                <w:b/>
                <w:sz w:val="21"/>
              </w:rPr>
              <w:t>Base Score</w:t>
            </w:r>
          </w:p>
        </w:tc>
      </w:tr>
      <w:tr>
        <w:tc>
          <w:tcPr>
            <w:tcW w:type="dxa" w:w="1440"/>
            <w:shd w:fill="FFFFFF"/>
            <w:tcMar>
              <w:top w:w="80" w:type="dxa"/>
              <w:bottom w:w="80" w:type="dxa"/>
              <w:left w:w="150" w:type="dxa"/>
              <w:right w:w="150" w:type="dxa"/>
            </w:tcMar>
          </w:tcPr>
          <w:p>
            <w:pPr>
              <w:spacing w:before="20" w:after="20"/>
            </w:pPr>
            <w:r/>
            <w:r>
              <w:rPr>
                <w:rFonts w:ascii="Times New Roman" w:hAnsi="Times New Roman"/>
                <w:sz w:val="20"/>
              </w:rPr>
              <w:t>Port Scan</w:t>
            </w:r>
          </w:p>
        </w:tc>
        <w:tc>
          <w:tcPr>
            <w:tcW w:type="dxa" w:w="1440"/>
            <w:shd w:fill="FFFFFF"/>
            <w:tcMar>
              <w:top w:w="80" w:type="dxa"/>
              <w:bottom w:w="80" w:type="dxa"/>
              <w:left w:w="150" w:type="dxa"/>
              <w:right w:w="150" w:type="dxa"/>
            </w:tcMar>
          </w:tcPr>
          <w:p>
            <w:pPr>
              <w:spacing w:before="20" w:after="20"/>
            </w:pPr>
            <w:r/>
            <w:r>
              <w:rPr>
                <w:rFonts w:ascii="Times New Roman" w:hAnsi="Times New Roman"/>
                <w:sz w:val="20"/>
              </w:rPr>
              <w:t>port_scan</w:t>
            </w:r>
          </w:p>
        </w:tc>
        <w:tc>
          <w:tcPr>
            <w:tcW w:type="dxa" w:w="2160"/>
            <w:shd w:fill="FFFFFF"/>
            <w:tcMar>
              <w:top w:w="80" w:type="dxa"/>
              <w:bottom w:w="80" w:type="dxa"/>
              <w:left w:w="150" w:type="dxa"/>
              <w:right w:w="150" w:type="dxa"/>
            </w:tcMar>
          </w:tcPr>
          <w:p>
            <w:pPr>
              <w:spacing w:before="20" w:after="20"/>
            </w:pPr>
            <w:r/>
            <w:r>
              <w:rPr>
                <w:rFonts w:ascii="Times New Roman" w:hAnsi="Times New Roman"/>
                <w:sz w:val="20"/>
              </w:rPr>
              <w:t>&gt;= 10 unique ports / 60s</w:t>
            </w:r>
          </w:p>
        </w:tc>
        <w:tc>
          <w:tcPr>
            <w:tcW w:type="dxa" w:w="2160"/>
            <w:shd w:fill="FFFFFF"/>
            <w:tcMar>
              <w:top w:w="80" w:type="dxa"/>
              <w:bottom w:w="80" w:type="dxa"/>
              <w:left w:w="150" w:type="dxa"/>
              <w:right w:w="150" w:type="dxa"/>
            </w:tcMar>
          </w:tcPr>
          <w:p>
            <w:pPr>
              <w:spacing w:before="20" w:after="20"/>
            </w:pPr>
            <w:r/>
            <w:r>
              <w:rPr>
                <w:rFonts w:ascii="Times New Roman" w:hAnsi="Times New Roman"/>
                <w:sz w:val="20"/>
              </w:rPr>
              <w:t>T1046: Network Service Discovery</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HIGH</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50 pts</w:t>
            </w:r>
          </w:p>
        </w:tc>
      </w:tr>
      <w:tr>
        <w:tc>
          <w:tcPr>
            <w:tcW w:type="dxa" w:w="1440"/>
            <w:shd w:fill="F8FAFC"/>
            <w:tcMar>
              <w:top w:w="80" w:type="dxa"/>
              <w:bottom w:w="80" w:type="dxa"/>
              <w:left w:w="150" w:type="dxa"/>
              <w:right w:w="150" w:type="dxa"/>
            </w:tcMar>
          </w:tcPr>
          <w:p>
            <w:pPr>
              <w:spacing w:before="20" w:after="20"/>
            </w:pPr>
            <w:r/>
            <w:r>
              <w:rPr>
                <w:rFonts w:ascii="Times New Roman" w:hAnsi="Times New Roman"/>
                <w:sz w:val="20"/>
              </w:rPr>
              <w:t>Host Sweep</w:t>
            </w:r>
          </w:p>
        </w:tc>
        <w:tc>
          <w:tcPr>
            <w:tcW w:type="dxa" w:w="1440"/>
            <w:shd w:fill="F8FAFC"/>
            <w:tcMar>
              <w:top w:w="80" w:type="dxa"/>
              <w:bottom w:w="80" w:type="dxa"/>
              <w:left w:w="150" w:type="dxa"/>
              <w:right w:w="150" w:type="dxa"/>
            </w:tcMar>
          </w:tcPr>
          <w:p>
            <w:pPr>
              <w:spacing w:before="20" w:after="20"/>
            </w:pPr>
            <w:r/>
            <w:r>
              <w:rPr>
                <w:rFonts w:ascii="Times New Roman" w:hAnsi="Times New Roman"/>
                <w:sz w:val="20"/>
              </w:rPr>
              <w:t>host_scan</w:t>
            </w:r>
          </w:p>
        </w:tc>
        <w:tc>
          <w:tcPr>
            <w:tcW w:type="dxa" w:w="2160"/>
            <w:shd w:fill="F8FAFC"/>
            <w:tcMar>
              <w:top w:w="80" w:type="dxa"/>
              <w:bottom w:w="80" w:type="dxa"/>
              <w:left w:w="150" w:type="dxa"/>
              <w:right w:w="150" w:type="dxa"/>
            </w:tcMar>
          </w:tcPr>
          <w:p>
            <w:pPr>
              <w:spacing w:before="20" w:after="20"/>
            </w:pPr>
            <w:r/>
            <w:r>
              <w:rPr>
                <w:rFonts w:ascii="Times New Roman" w:hAnsi="Times New Roman"/>
                <w:sz w:val="20"/>
              </w:rPr>
              <w:t>&gt;= 5 unique hosts / 60s</w:t>
            </w:r>
          </w:p>
        </w:tc>
        <w:tc>
          <w:tcPr>
            <w:tcW w:type="dxa" w:w="2160"/>
            <w:shd w:fill="F8FAFC"/>
            <w:tcMar>
              <w:top w:w="80" w:type="dxa"/>
              <w:bottom w:w="80" w:type="dxa"/>
              <w:left w:w="150" w:type="dxa"/>
              <w:right w:w="150" w:type="dxa"/>
            </w:tcMar>
          </w:tcPr>
          <w:p>
            <w:pPr>
              <w:spacing w:before="20" w:after="20"/>
            </w:pPr>
            <w:r/>
            <w:r>
              <w:rPr>
                <w:rFonts w:ascii="Times New Roman" w:hAnsi="Times New Roman"/>
                <w:sz w:val="20"/>
              </w:rPr>
              <w:t>T1018: Remote System Discovery</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MEDIUM</w:t>
            </w:r>
          </w:p>
        </w:tc>
        <w:tc>
          <w:tcPr>
            <w:tcW w:type="dxa" w:w="1008"/>
            <w:shd w:fill="F8FAFC"/>
            <w:tcMar>
              <w:top w:w="80" w:type="dxa"/>
              <w:bottom w:w="80" w:type="dxa"/>
              <w:left w:w="150" w:type="dxa"/>
              <w:right w:w="150" w:type="dxa"/>
            </w:tcMar>
          </w:tcPr>
          <w:p>
            <w:pPr>
              <w:spacing w:before="20" w:after="20"/>
            </w:pPr>
            <w:r/>
            <w:r>
              <w:rPr>
                <w:rFonts w:ascii="Times New Roman" w:hAnsi="Times New Roman"/>
                <w:sz w:val="20"/>
              </w:rPr>
              <w:t>40 pts</w:t>
            </w:r>
          </w:p>
        </w:tc>
      </w:tr>
      <w:tr>
        <w:tc>
          <w:tcPr>
            <w:tcW w:type="dxa" w:w="1440"/>
            <w:shd w:fill="FFFFFF"/>
            <w:tcMar>
              <w:top w:w="80" w:type="dxa"/>
              <w:bottom w:w="80" w:type="dxa"/>
              <w:left w:w="150" w:type="dxa"/>
              <w:right w:w="150" w:type="dxa"/>
            </w:tcMar>
          </w:tcPr>
          <w:p>
            <w:pPr>
              <w:spacing w:before="20" w:after="20"/>
            </w:pPr>
            <w:r/>
            <w:r>
              <w:rPr>
                <w:rFonts w:ascii="Times New Roman" w:hAnsi="Times New Roman"/>
                <w:sz w:val="20"/>
              </w:rPr>
              <w:t>Data Exfiltration</w:t>
            </w:r>
          </w:p>
        </w:tc>
        <w:tc>
          <w:tcPr>
            <w:tcW w:type="dxa" w:w="1440"/>
            <w:shd w:fill="FFFFFF"/>
            <w:tcMar>
              <w:top w:w="80" w:type="dxa"/>
              <w:bottom w:w="80" w:type="dxa"/>
              <w:left w:w="150" w:type="dxa"/>
              <w:right w:w="150" w:type="dxa"/>
            </w:tcMar>
          </w:tcPr>
          <w:p>
            <w:pPr>
              <w:spacing w:before="20" w:after="20"/>
            </w:pPr>
            <w:r/>
            <w:r>
              <w:rPr>
                <w:rFonts w:ascii="Times New Roman" w:hAnsi="Times New Roman"/>
                <w:sz w:val="20"/>
              </w:rPr>
              <w:t>exfiltration</w:t>
            </w:r>
          </w:p>
        </w:tc>
        <w:tc>
          <w:tcPr>
            <w:tcW w:type="dxa" w:w="2160"/>
            <w:shd w:fill="FFFFFF"/>
            <w:tcMar>
              <w:top w:w="80" w:type="dxa"/>
              <w:bottom w:w="80" w:type="dxa"/>
              <w:left w:w="150" w:type="dxa"/>
              <w:right w:w="150" w:type="dxa"/>
            </w:tcMar>
          </w:tcPr>
          <w:p>
            <w:pPr>
              <w:spacing w:before="20" w:after="20"/>
            </w:pPr>
            <w:r/>
            <w:r>
              <w:rPr>
                <w:rFonts w:ascii="Times New Roman" w:hAnsi="Times New Roman"/>
                <w:sz w:val="20"/>
              </w:rPr>
              <w:t>&gt;= 500 KB outbound / 120s</w:t>
            </w:r>
          </w:p>
        </w:tc>
        <w:tc>
          <w:tcPr>
            <w:tcW w:type="dxa" w:w="2160"/>
            <w:shd w:fill="FFFFFF"/>
            <w:tcMar>
              <w:top w:w="80" w:type="dxa"/>
              <w:bottom w:w="80" w:type="dxa"/>
              <w:left w:w="150" w:type="dxa"/>
              <w:right w:w="150" w:type="dxa"/>
            </w:tcMar>
          </w:tcPr>
          <w:p>
            <w:pPr>
              <w:spacing w:before="20" w:after="20"/>
            </w:pPr>
            <w:r/>
            <w:r>
              <w:rPr>
                <w:rFonts w:ascii="Times New Roman" w:hAnsi="Times New Roman"/>
                <w:sz w:val="20"/>
              </w:rPr>
              <w:t>T1048: Exfil Over Alt. Protocol</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HIGH</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50 pts</w:t>
            </w:r>
          </w:p>
        </w:tc>
      </w:tr>
    </w:tbl>
    <w:p>
      <w:pPr>
        <w:spacing w:before="120"/>
      </w:pPr>
    </w:p>
    <w:p>
      <w:pPr>
        <w:keepNext/>
        <w:spacing w:before="200" w:after="80"/>
      </w:pPr>
      <w:r>
        <w:rPr>
          <w:rFonts w:ascii="Times New Roman" w:hAnsi="Times New Roman"/>
          <w:b/>
          <w:sz w:val="24"/>
        </w:rPr>
        <w:t>Additive Scoring Formula</w:t>
      </w:r>
    </w:p>
    <w:p>
      <w:pPr>
        <w:spacing w:before="0" w:after="120" w:line="276" w:lineRule="auto"/>
        <w:jc w:val="left"/>
      </w:pPr>
      <w:r>
        <w:rPr>
          <w:rFonts w:ascii="Times New Roman" w:hAnsi="Times New Roman"/>
          <w:sz w:val="24"/>
        </w:rPr>
        <w:t>The total incident score is calculated using the following mathematical model:</w:t>
      </w:r>
    </w:p>
    <w:p>
      <w:pPr>
        <w:spacing w:before="0" w:after="120" w:line="276" w:lineRule="auto"/>
        <w:jc w:val="left"/>
      </w:pPr>
      <w:r>
        <w:rPr>
          <w:rFonts w:ascii="Times New Roman" w:hAnsi="Times New Roman"/>
          <w:b/>
          <w:sz w:val="24"/>
        </w:rPr>
        <w:t xml:space="preserve">Formula: </w:t>
      </w:r>
      <w:r>
        <w:rPr>
          <w:rFonts w:ascii="Times New Roman" w:hAnsi="Times New Roman"/>
          <w:sz w:val="24"/>
        </w:rPr>
        <w:t>Total Score = min(100, Base_Points + Extra_Alert_Points + Volume_Bonus_Points)</w:t>
      </w:r>
    </w:p>
    <w:p>
      <w:pPr>
        <w:spacing w:before="0" w:after="120" w:line="276" w:lineRule="auto"/>
        <w:jc w:val="left"/>
      </w:pPr>
      <w:r>
        <w:rPr>
          <w:rFonts w:ascii="Times New Roman" w:hAnsi="Times New Roman"/>
          <w:sz w:val="24"/>
        </w:rPr>
        <w:t>• Base Points: The highest severity among all alerts in the incident (HIGH = 50 pts, MEDIUM = 40 pts, LOW = 20 pts).</w:t>
      </w:r>
    </w:p>
    <w:p>
      <w:pPr>
        <w:spacing w:before="0" w:after="120" w:line="276" w:lineRule="auto"/>
        <w:jc w:val="left"/>
      </w:pPr>
      <w:r>
        <w:rPr>
          <w:rFonts w:ascii="Times New Roman" w:hAnsi="Times New Roman"/>
          <w:sz w:val="24"/>
        </w:rPr>
        <w:t>• Extra Alert Points: Correlating multiple alerts adds +10 pts for each additional alert beyond the first (Extra_Count * 10).</w:t>
      </w:r>
    </w:p>
    <w:p>
      <w:pPr>
        <w:spacing w:before="0" w:after="120" w:line="276" w:lineRule="auto"/>
        <w:jc w:val="left"/>
      </w:pPr>
      <w:r>
        <w:rPr>
          <w:rFonts w:ascii="Times New Roman" w:hAnsi="Times New Roman"/>
          <w:sz w:val="24"/>
        </w:rPr>
        <w:t>• Volume Bonus Points: High-volume exfiltration adds +20 pts if total exfiltrated bytes &gt;= 5 MB, or +10 pts if &gt;= 500 KB.</w:t>
      </w:r>
    </w:p>
    <w:p>
      <w:pPr>
        <w:keepNext/>
        <w:spacing w:before="200" w:after="80"/>
      </w:pPr>
      <w:r>
        <w:rPr>
          <w:rFonts w:ascii="Times New Roman" w:hAnsi="Times New Roman"/>
          <w:b/>
          <w:sz w:val="24"/>
        </w:rPr>
        <w:t>Severity Classification Categories</w:t>
      </w:r>
    </w:p>
    <w:tbl>
      <w:tblPr>
        <w:tblW w:type="auto" w:w="0"/>
        <w:jc w:val="center"/>
        <w:tblLook w:firstColumn="1" w:firstRow="1" w:lastColumn="0" w:lastRow="0" w:noHBand="0" w:noVBand="1" w:val="04A0"/>
      </w:tblPr>
      <w:tblGrid>
        <w:gridCol w:w="3120"/>
        <w:gridCol w:w="3120"/>
        <w:gridCol w:w="3120"/>
      </w:tblGrid>
      <w:tr>
        <w:tc>
          <w:tcPr>
            <w:tcW w:type="dxa" w:w="1728"/>
            <w:shd w:fill="E2E8F0"/>
            <w:tcMar>
              <w:top w:w="120" w:type="dxa"/>
              <w:bottom w:w="120" w:type="dxa"/>
              <w:left w:w="150" w:type="dxa"/>
              <w:right w:w="150" w:type="dxa"/>
            </w:tcMar>
          </w:tcPr>
          <w:p>
            <w:pPr>
              <w:spacing w:before="40" w:after="40"/>
            </w:pPr>
            <w:r/>
            <w:r>
              <w:rPr>
                <w:rFonts w:ascii="Times New Roman" w:hAnsi="Times New Roman"/>
                <w:b/>
                <w:sz w:val="21"/>
              </w:rPr>
              <w:t>Priority Rating</w:t>
            </w:r>
          </w:p>
        </w:tc>
        <w:tc>
          <w:tcPr>
            <w:tcW w:type="dxa" w:w="1728"/>
            <w:shd w:fill="E2E8F0"/>
            <w:tcMar>
              <w:top w:w="120" w:type="dxa"/>
              <w:bottom w:w="120" w:type="dxa"/>
              <w:left w:w="150" w:type="dxa"/>
              <w:right w:w="150" w:type="dxa"/>
            </w:tcMar>
          </w:tcPr>
          <w:p>
            <w:pPr>
              <w:spacing w:before="40" w:after="40"/>
            </w:pPr>
            <w:r/>
            <w:r>
              <w:rPr>
                <w:rFonts w:ascii="Times New Roman" w:hAnsi="Times New Roman"/>
                <w:b/>
                <w:sz w:val="21"/>
              </w:rPr>
              <w:t>Score Range</w:t>
            </w:r>
          </w:p>
        </w:tc>
        <w:tc>
          <w:tcPr>
            <w:tcW w:type="dxa" w:w="5904"/>
            <w:shd w:fill="E2E8F0"/>
            <w:tcMar>
              <w:top w:w="120" w:type="dxa"/>
              <w:bottom w:w="120" w:type="dxa"/>
              <w:left w:w="150" w:type="dxa"/>
              <w:right w:w="150" w:type="dxa"/>
            </w:tcMar>
          </w:tcPr>
          <w:p>
            <w:pPr>
              <w:spacing w:before="40" w:after="40"/>
            </w:pPr>
            <w:r/>
            <w:r>
              <w:rPr>
                <w:rFonts w:ascii="Times New Roman" w:hAnsi="Times New Roman"/>
                <w:b/>
                <w:sz w:val="21"/>
              </w:rPr>
              <w:t>Operational Significance</w:t>
            </w:r>
          </w:p>
        </w:tc>
      </w:tr>
      <w:tr>
        <w:tc>
          <w:tcPr>
            <w:tcW w:type="dxa" w:w="1728"/>
            <w:shd w:fill="FFFFFF"/>
            <w:tcMar>
              <w:top w:w="80" w:type="dxa"/>
              <w:bottom w:w="80" w:type="dxa"/>
              <w:left w:w="150" w:type="dxa"/>
              <w:right w:w="150" w:type="dxa"/>
            </w:tcMar>
          </w:tcPr>
          <w:p>
            <w:pPr>
              <w:spacing w:before="20" w:after="20"/>
            </w:pPr>
            <w:r/>
            <w:r>
              <w:rPr>
                <w:rFonts w:ascii="Times New Roman" w:hAnsi="Times New Roman"/>
                <w:sz w:val="20"/>
              </w:rPr>
              <w:t>Critical</w:t>
            </w:r>
          </w:p>
        </w:tc>
        <w:tc>
          <w:tcPr>
            <w:tcW w:type="dxa" w:w="1728"/>
            <w:shd w:fill="FFFFFF"/>
            <w:tcMar>
              <w:top w:w="80" w:type="dxa"/>
              <w:bottom w:w="80" w:type="dxa"/>
              <w:left w:w="150" w:type="dxa"/>
              <w:right w:w="150" w:type="dxa"/>
            </w:tcMar>
          </w:tcPr>
          <w:p>
            <w:pPr>
              <w:spacing w:before="20" w:after="20"/>
            </w:pPr>
            <w:r/>
            <w:r>
              <w:rPr>
                <w:rFonts w:ascii="Times New Roman" w:hAnsi="Times New Roman"/>
                <w:sz w:val="20"/>
              </w:rPr>
              <w:t>80 – 100</w:t>
            </w:r>
          </w:p>
        </w:tc>
        <w:tc>
          <w:tcPr>
            <w:tcW w:type="dxa" w:w="5904"/>
            <w:shd w:fill="FFFFFF"/>
            <w:tcMar>
              <w:top w:w="80" w:type="dxa"/>
              <w:bottom w:w="80" w:type="dxa"/>
              <w:left w:w="150" w:type="dxa"/>
              <w:right w:w="150" w:type="dxa"/>
            </w:tcMar>
          </w:tcPr>
          <w:p>
            <w:pPr>
              <w:spacing w:before="20" w:after="20"/>
            </w:pPr>
            <w:r/>
            <w:r>
              <w:rPr>
                <w:rFonts w:ascii="Times New Roman" w:hAnsi="Times New Roman"/>
                <w:sz w:val="20"/>
              </w:rPr>
              <w:t>Multi-stage attack or high-volume data exfiltration. Immediate host isolation required.</w:t>
            </w:r>
          </w:p>
        </w:tc>
      </w:tr>
      <w:tr>
        <w:tc>
          <w:tcPr>
            <w:tcW w:type="dxa" w:w="1728"/>
            <w:shd w:fill="F8FAFC"/>
            <w:tcMar>
              <w:top w:w="80" w:type="dxa"/>
              <w:bottom w:w="80" w:type="dxa"/>
              <w:left w:w="150" w:type="dxa"/>
              <w:right w:w="150" w:type="dxa"/>
            </w:tcMar>
          </w:tcPr>
          <w:p>
            <w:pPr>
              <w:spacing w:before="20" w:after="20"/>
            </w:pPr>
            <w:r/>
            <w:r>
              <w:rPr>
                <w:rFonts w:ascii="Times New Roman" w:hAnsi="Times New Roman"/>
                <w:sz w:val="20"/>
              </w:rPr>
              <w:t>High</w:t>
            </w:r>
          </w:p>
        </w:tc>
        <w:tc>
          <w:tcPr>
            <w:tcW w:type="dxa" w:w="1728"/>
            <w:shd w:fill="F8FAFC"/>
            <w:tcMar>
              <w:top w:w="80" w:type="dxa"/>
              <w:bottom w:w="80" w:type="dxa"/>
              <w:left w:w="150" w:type="dxa"/>
              <w:right w:w="150" w:type="dxa"/>
            </w:tcMar>
          </w:tcPr>
          <w:p>
            <w:pPr>
              <w:spacing w:before="20" w:after="20"/>
            </w:pPr>
            <w:r/>
            <w:r>
              <w:rPr>
                <w:rFonts w:ascii="Times New Roman" w:hAnsi="Times New Roman"/>
                <w:sz w:val="20"/>
              </w:rPr>
              <w:t>60 – 79</w:t>
            </w:r>
          </w:p>
        </w:tc>
        <w:tc>
          <w:tcPr>
            <w:tcW w:type="dxa" w:w="5904"/>
            <w:shd w:fill="F8FAFC"/>
            <w:tcMar>
              <w:top w:w="80" w:type="dxa"/>
              <w:bottom w:w="80" w:type="dxa"/>
              <w:left w:w="150" w:type="dxa"/>
              <w:right w:w="150" w:type="dxa"/>
            </w:tcMar>
          </w:tcPr>
          <w:p>
            <w:pPr>
              <w:spacing w:before="20" w:after="20"/>
            </w:pPr>
            <w:r/>
            <w:r>
              <w:rPr>
                <w:rFonts w:ascii="Times New Roman" w:hAnsi="Times New Roman"/>
                <w:sz w:val="20"/>
              </w:rPr>
              <w:t>Multiple correlated suspicious behaviors or significant outbound transfer.</w:t>
            </w:r>
          </w:p>
        </w:tc>
      </w:tr>
      <w:tr>
        <w:tc>
          <w:tcPr>
            <w:tcW w:type="dxa" w:w="1728"/>
            <w:shd w:fill="FFFFFF"/>
            <w:tcMar>
              <w:top w:w="80" w:type="dxa"/>
              <w:bottom w:w="80" w:type="dxa"/>
              <w:left w:w="150" w:type="dxa"/>
              <w:right w:w="150" w:type="dxa"/>
            </w:tcMar>
          </w:tcPr>
          <w:p>
            <w:pPr>
              <w:spacing w:before="20" w:after="20"/>
            </w:pPr>
            <w:r/>
            <w:r>
              <w:rPr>
                <w:rFonts w:ascii="Times New Roman" w:hAnsi="Times New Roman"/>
                <w:sz w:val="20"/>
              </w:rPr>
              <w:t>Medium</w:t>
            </w:r>
          </w:p>
        </w:tc>
        <w:tc>
          <w:tcPr>
            <w:tcW w:type="dxa" w:w="1728"/>
            <w:shd w:fill="FFFFFF"/>
            <w:tcMar>
              <w:top w:w="80" w:type="dxa"/>
              <w:bottom w:w="80" w:type="dxa"/>
              <w:left w:w="150" w:type="dxa"/>
              <w:right w:w="150" w:type="dxa"/>
            </w:tcMar>
          </w:tcPr>
          <w:p>
            <w:pPr>
              <w:spacing w:before="20" w:after="20"/>
            </w:pPr>
            <w:r/>
            <w:r>
              <w:rPr>
                <w:rFonts w:ascii="Times New Roman" w:hAnsi="Times New Roman"/>
                <w:sz w:val="20"/>
              </w:rPr>
              <w:t>30 – 59</w:t>
            </w:r>
          </w:p>
        </w:tc>
        <w:tc>
          <w:tcPr>
            <w:tcW w:type="dxa" w:w="5904"/>
            <w:shd w:fill="FFFFFF"/>
            <w:tcMar>
              <w:top w:w="80" w:type="dxa"/>
              <w:bottom w:w="80" w:type="dxa"/>
              <w:left w:w="150" w:type="dxa"/>
              <w:right w:w="150" w:type="dxa"/>
            </w:tcMar>
          </w:tcPr>
          <w:p>
            <w:pPr>
              <w:spacing w:before="20" w:after="20"/>
            </w:pPr>
            <w:r/>
            <w:r>
              <w:rPr>
                <w:rFonts w:ascii="Times New Roman" w:hAnsi="Times New Roman"/>
                <w:sz w:val="20"/>
              </w:rPr>
              <w:t>Isolated reconnaissance probe, port scan, or subnet sweep.</w:t>
            </w:r>
          </w:p>
        </w:tc>
      </w:tr>
      <w:tr>
        <w:tc>
          <w:tcPr>
            <w:tcW w:type="dxa" w:w="1728"/>
            <w:shd w:fill="F8FAFC"/>
            <w:tcMar>
              <w:top w:w="80" w:type="dxa"/>
              <w:bottom w:w="80" w:type="dxa"/>
              <w:left w:w="150" w:type="dxa"/>
              <w:right w:w="150" w:type="dxa"/>
            </w:tcMar>
          </w:tcPr>
          <w:p>
            <w:pPr>
              <w:spacing w:before="20" w:after="20"/>
            </w:pPr>
            <w:r/>
            <w:r>
              <w:rPr>
                <w:rFonts w:ascii="Times New Roman" w:hAnsi="Times New Roman"/>
                <w:sz w:val="20"/>
              </w:rPr>
              <w:t>Low</w:t>
            </w:r>
          </w:p>
        </w:tc>
        <w:tc>
          <w:tcPr>
            <w:tcW w:type="dxa" w:w="1728"/>
            <w:shd w:fill="F8FAFC"/>
            <w:tcMar>
              <w:top w:w="80" w:type="dxa"/>
              <w:bottom w:w="80" w:type="dxa"/>
              <w:left w:w="150" w:type="dxa"/>
              <w:right w:w="150" w:type="dxa"/>
            </w:tcMar>
          </w:tcPr>
          <w:p>
            <w:pPr>
              <w:spacing w:before="20" w:after="20"/>
            </w:pPr>
            <w:r/>
            <w:r>
              <w:rPr>
                <w:rFonts w:ascii="Times New Roman" w:hAnsi="Times New Roman"/>
                <w:sz w:val="20"/>
              </w:rPr>
              <w:t>0 – 29</w:t>
            </w:r>
          </w:p>
        </w:tc>
        <w:tc>
          <w:tcPr>
            <w:tcW w:type="dxa" w:w="5904"/>
            <w:shd w:fill="F8FAFC"/>
            <w:tcMar>
              <w:top w:w="80" w:type="dxa"/>
              <w:bottom w:w="80" w:type="dxa"/>
              <w:left w:w="150" w:type="dxa"/>
              <w:right w:w="150" w:type="dxa"/>
            </w:tcMar>
          </w:tcPr>
          <w:p>
            <w:pPr>
              <w:spacing w:before="20" w:after="20"/>
            </w:pPr>
            <w:r/>
            <w:r>
              <w:rPr>
                <w:rFonts w:ascii="Times New Roman" w:hAnsi="Times New Roman"/>
                <w:sz w:val="20"/>
              </w:rPr>
              <w:t>Minor threshold anomaly or low-confidence telemetry event.</w:t>
            </w:r>
          </w:p>
        </w:tc>
      </w:tr>
    </w:tbl>
    <w:p>
      <w:pPr>
        <w:spacing w:before="120"/>
      </w:pPr>
    </w:p>
    <w:p>
      <w:pPr>
        <w:keepNext/>
        <w:spacing w:before="200" w:after="80"/>
      </w:pPr>
      <w:r>
        <w:rPr>
          <w:rFonts w:ascii="Times New Roman" w:hAnsi="Times New Roman"/>
          <w:b/>
          <w:sz w:val="24"/>
        </w:rPr>
        <w:t>Worked Scoring Example: Scenario 4 (Multi-Stage Enterprise Attack)</w:t>
      </w:r>
    </w:p>
    <w:p>
      <w:pPr>
        <w:spacing w:before="0" w:after="120" w:line="276" w:lineRule="auto"/>
        <w:jc w:val="left"/>
      </w:pPr>
      <w:r>
        <w:rPr>
          <w:rFonts w:ascii="Times New Roman" w:hAnsi="Times New Roman"/>
          <w:sz w:val="24"/>
        </w:rPr>
        <w:t>In Scenario 4, the threat actor (10.0.1.99) triggers all three detection rules within a 5-minute window: a vertical port scan (HIGH), a horizontal host sweep (MEDIUM), and outbound exfiltration of 6,300,000 bytes (HIGH). The score calculation proceeds as follows:</w:t>
      </w:r>
    </w:p>
    <w:p>
      <w:pPr>
        <w:spacing w:before="0" w:after="120" w:line="276" w:lineRule="auto"/>
        <w:jc w:val="left"/>
      </w:pPr>
      <w:r>
        <w:rPr>
          <w:rFonts w:ascii="Times New Roman" w:hAnsi="Times New Roman"/>
          <w:sz w:val="24"/>
        </w:rPr>
        <w:t>1. Base Severity: Highest alert severity is HIGH, assigning +50 points.</w:t>
      </w:r>
    </w:p>
    <w:p>
      <w:pPr>
        <w:spacing w:before="0" w:after="120" w:line="276" w:lineRule="auto"/>
        <w:jc w:val="left"/>
      </w:pPr>
      <w:r>
        <w:rPr>
          <w:rFonts w:ascii="Times New Roman" w:hAnsi="Times New Roman"/>
          <w:sz w:val="24"/>
        </w:rPr>
        <w:t>2. Additional Correlated Alerts: Two additional alerts beyond the first (2 * 10), adding +20 points.</w:t>
      </w:r>
    </w:p>
    <w:p>
      <w:pPr>
        <w:spacing w:before="0" w:after="120" w:line="276" w:lineRule="auto"/>
        <w:jc w:val="left"/>
      </w:pPr>
      <w:r>
        <w:rPr>
          <w:rFonts w:ascii="Times New Roman" w:hAnsi="Times New Roman"/>
          <w:sz w:val="24"/>
        </w:rPr>
        <w:t>3. Exfiltration Volume Bonus: 6.3 MB exceeds the 5 MB high-volume threshold, adding +20 points.</w:t>
      </w:r>
    </w:p>
    <w:p>
      <w:pPr>
        <w:spacing w:before="0" w:after="120" w:line="276" w:lineRule="auto"/>
        <w:jc w:val="left"/>
      </w:pPr>
      <w:r>
        <w:rPr>
          <w:rFonts w:ascii="Times New Roman" w:hAnsi="Times New Roman"/>
          <w:sz w:val="24"/>
        </w:rPr>
        <w:t>Total Calculated Score = 50 + 20 + 20 = 90 / 100 (Critical Priority). Every step is fully documented in the forensic audit trail.</w:t>
      </w:r>
    </w:p>
    <w:p>
      <w:pPr>
        <w:keepNext/>
        <w:spacing w:before="320" w:after="120"/>
      </w:pPr>
      <w:r>
        <w:rPr>
          <w:rFonts w:ascii="Times New Roman" w:hAnsi="Times New Roman"/>
          <w:b/>
          <w:sz w:val="28"/>
        </w:rPr>
        <w:t>11. TESTING AND RESULTS</w:t>
      </w:r>
    </w:p>
    <w:p>
      <w:pPr>
        <w:spacing w:before="0" w:after="120" w:line="276" w:lineRule="auto"/>
        <w:jc w:val="left"/>
      </w:pPr>
      <w:r>
        <w:rPr>
          <w:rFonts w:ascii="Times New Roman" w:hAnsi="Times New Roman"/>
          <w:sz w:val="24"/>
        </w:rPr>
        <w:t>Rigorous automated testing was conducted to verify that NetSleuth performs accurately across edge cases, boundary conditions, and diverse attack topologies. The testing strategy combined automated unit tests with ground-truth quantitative evaluation across eight synthetic benchmark scenarios.</w:t>
      </w:r>
    </w:p>
    <w:p>
      <w:pPr>
        <w:keepNext/>
        <w:spacing w:before="200" w:after="80"/>
      </w:pPr>
      <w:r>
        <w:rPr>
          <w:rFonts w:ascii="Times New Roman" w:hAnsi="Times New Roman"/>
          <w:b/>
          <w:sz w:val="24"/>
        </w:rPr>
        <w:t>Automated Unit Test Suite</w:t>
      </w:r>
    </w:p>
    <w:p>
      <w:pPr>
        <w:spacing w:before="0" w:after="120" w:line="276" w:lineRule="auto"/>
        <w:jc w:val="left"/>
      </w:pPr>
      <w:r>
        <w:rPr>
          <w:rFonts w:ascii="Times New Roman" w:hAnsi="Times New Roman"/>
          <w:sz w:val="24"/>
        </w:rPr>
        <w:t>The automated test suite implemented in tests/test_netsleuth.py consists of ten dedicated unit tests executed via Pytest. All ten tests pass with 100% success rate:</w:t>
      </w:r>
    </w:p>
    <w:p>
      <w:pPr>
        <w:spacing w:before="40" w:after="60" w:line="276" w:lineRule="auto"/>
        <w:jc w:val="left"/>
      </w:pPr>
      <w:r>
        <w:rPr>
          <w:rFonts w:ascii="Times New Roman" w:hAnsi="Times New Roman"/>
          <w:b/>
          <w:sz w:val="24"/>
        </w:rPr>
        <w:t xml:space="preserve">1. test_port_scan_threshold_boundary: </w:t>
      </w:r>
      <w:r>
        <w:rPr>
          <w:rFonts w:ascii="Times New Roman" w:hAnsi="Times New Roman"/>
          <w:sz w:val="24"/>
        </w:rPr>
        <w:t>Verifies that exactly 9 probed ports produce 0 alerts, while 10 ports within 60 seconds trigger a Port Scan alert.</w:t>
      </w:r>
    </w:p>
    <w:p>
      <w:pPr>
        <w:spacing w:before="40" w:after="60" w:line="276" w:lineRule="auto"/>
        <w:jc w:val="left"/>
      </w:pPr>
      <w:r>
        <w:rPr>
          <w:rFonts w:ascii="Times New Roman" w:hAnsi="Times New Roman"/>
          <w:b/>
          <w:sz w:val="24"/>
        </w:rPr>
        <w:t xml:space="preserve">2. test_host_scan_threshold_boundary: </w:t>
      </w:r>
      <w:r>
        <w:rPr>
          <w:rFonts w:ascii="Times New Roman" w:hAnsi="Times New Roman"/>
          <w:sz w:val="24"/>
        </w:rPr>
        <w:t>Verifies that 4 probed target hosts produce 0 alerts, while 5 hosts within 60 seconds trigger a Host Sweep alert.</w:t>
      </w:r>
    </w:p>
    <w:p>
      <w:pPr>
        <w:spacing w:before="40" w:after="60" w:line="276" w:lineRule="auto"/>
        <w:jc w:val="left"/>
      </w:pPr>
      <w:r>
        <w:rPr>
          <w:rFonts w:ascii="Times New Roman" w:hAnsi="Times New Roman"/>
          <w:b/>
          <w:sz w:val="24"/>
        </w:rPr>
        <w:t xml:space="preserve">3. test_exfiltration_threshold_boundary: </w:t>
      </w:r>
      <w:r>
        <w:rPr>
          <w:rFonts w:ascii="Times New Roman" w:hAnsi="Times New Roman"/>
          <w:sz w:val="24"/>
        </w:rPr>
        <w:t>Verifies that 499 KB outbound produces 0 alerts, while 500 KB within 120 seconds triggers an Exfiltration alert.</w:t>
      </w:r>
    </w:p>
    <w:p>
      <w:pPr>
        <w:spacing w:before="40" w:after="60" w:line="276" w:lineRule="auto"/>
        <w:jc w:val="left"/>
      </w:pPr>
      <w:r>
        <w:rPr>
          <w:rFonts w:ascii="Times New Roman" w:hAnsi="Times New Roman"/>
          <w:b/>
          <w:sz w:val="24"/>
        </w:rPr>
        <w:t xml:space="preserve">4. test_benign_scenario_produces_zero_alerts: </w:t>
      </w:r>
      <w:r>
        <w:rPr>
          <w:rFonts w:ascii="Times New Roman" w:hAnsi="Times New Roman"/>
          <w:sz w:val="24"/>
        </w:rPr>
        <w:t>Verifies that 320 normal baseline flows generate zero false positives.</w:t>
      </w:r>
    </w:p>
    <w:p>
      <w:pPr>
        <w:spacing w:before="40" w:after="60" w:line="276" w:lineRule="auto"/>
        <w:jc w:val="left"/>
      </w:pPr>
      <w:r>
        <w:rPr>
          <w:rFonts w:ascii="Times New Roman" w:hAnsi="Times New Roman"/>
          <w:b/>
          <w:sz w:val="24"/>
        </w:rPr>
        <w:t xml:space="preserve">5. test_incident_correlation_time_gap: </w:t>
      </w:r>
      <w:r>
        <w:rPr>
          <w:rFonts w:ascii="Times New Roman" w:hAnsi="Times New Roman"/>
          <w:sz w:val="24"/>
        </w:rPr>
        <w:t>Confirms that two alerts 120 seconds apart cluster into one incident, while alerts separated by 301 seconds split into two incidents.</w:t>
      </w:r>
    </w:p>
    <w:p>
      <w:pPr>
        <w:spacing w:before="40" w:after="60" w:line="276" w:lineRule="auto"/>
        <w:jc w:val="left"/>
      </w:pPr>
      <w:r>
        <w:rPr>
          <w:rFonts w:ascii="Times New Roman" w:hAnsi="Times New Roman"/>
          <w:b/>
          <w:sz w:val="24"/>
        </w:rPr>
        <w:t xml:space="preserve">6. test_scoring_hand_calculation: </w:t>
      </w:r>
      <w:r>
        <w:rPr>
          <w:rFonts w:ascii="Times New Roman" w:hAnsi="Times New Roman"/>
          <w:sz w:val="24"/>
        </w:rPr>
        <w:t>Validates the additive mathematical scoring formula against manual hand calculations.</w:t>
      </w:r>
    </w:p>
    <w:p>
      <w:pPr>
        <w:spacing w:before="40" w:after="60" w:line="276" w:lineRule="auto"/>
        <w:jc w:val="left"/>
      </w:pPr>
      <w:r>
        <w:rPr>
          <w:rFonts w:ascii="Times New Roman" w:hAnsi="Times New Roman"/>
          <w:b/>
          <w:sz w:val="24"/>
        </w:rPr>
        <w:t xml:space="preserve">7. test_scoring_never_exceeds_100: </w:t>
      </w:r>
      <w:r>
        <w:rPr>
          <w:rFonts w:ascii="Times New Roman" w:hAnsi="Times New Roman"/>
          <w:sz w:val="24"/>
        </w:rPr>
        <w:t>Verifies that theoretical edge cases with dozens of alerts clamp strictly at the maximum ceiling of 100.</w:t>
      </w:r>
    </w:p>
    <w:p>
      <w:pPr>
        <w:spacing w:before="40" w:after="60" w:line="276" w:lineRule="auto"/>
        <w:jc w:val="left"/>
      </w:pPr>
      <w:r>
        <w:rPr>
          <w:rFonts w:ascii="Times New Roman" w:hAnsi="Times New Roman"/>
          <w:b/>
          <w:sz w:val="24"/>
        </w:rPr>
        <w:t xml:space="preserve">8. test_loader_drops_invalid_rows: </w:t>
      </w:r>
      <w:r>
        <w:rPr>
          <w:rFonts w:ascii="Times New Roman" w:hAnsi="Times New Roman"/>
          <w:sz w:val="24"/>
        </w:rPr>
        <w:t>Ensures corrupt rows with missing fields or invalid timestamps are safely quarantined.</w:t>
      </w:r>
    </w:p>
    <w:p>
      <w:pPr>
        <w:spacing w:before="40" w:after="60" w:line="276" w:lineRule="auto"/>
        <w:jc w:val="left"/>
      </w:pPr>
      <w:r>
        <w:rPr>
          <w:rFonts w:ascii="Times New Roman" w:hAnsi="Times New Roman"/>
          <w:b/>
          <w:sz w:val="24"/>
        </w:rPr>
        <w:t xml:space="preserve">9. test_zero_label_leakage: </w:t>
      </w:r>
      <w:r>
        <w:rPr>
          <w:rFonts w:ascii="Times New Roman" w:hAnsi="Times New Roman"/>
          <w:sz w:val="24"/>
        </w:rPr>
        <w:t>Strict academic integrity test confirming that detection heuristics do not access or depend on ground-truth label columns.</w:t>
      </w:r>
    </w:p>
    <w:p>
      <w:pPr>
        <w:spacing w:before="40" w:after="60" w:line="276" w:lineRule="auto"/>
        <w:jc w:val="left"/>
      </w:pPr>
      <w:r>
        <w:rPr>
          <w:rFonts w:ascii="Times New Roman" w:hAnsi="Times New Roman"/>
          <w:b/>
          <w:sz w:val="24"/>
        </w:rPr>
        <w:t xml:space="preserve">10. test_mitre_mapping_and_forensic_dossier: </w:t>
      </w:r>
      <w:r>
        <w:rPr>
          <w:rFonts w:ascii="Times New Roman" w:hAnsi="Times New Roman"/>
          <w:sz w:val="24"/>
        </w:rPr>
        <w:t>Verifies that MITRE technique IDs and Markdown dossiers are correctly generated.</w:t>
      </w:r>
    </w:p>
    <w:p>
      <w:pPr>
        <w:keepNext/>
        <w:spacing w:before="200" w:after="80"/>
      </w:pPr>
      <w:r>
        <w:rPr>
          <w:rFonts w:ascii="Times New Roman" w:hAnsi="Times New Roman"/>
          <w:b/>
          <w:sz w:val="24"/>
        </w:rPr>
        <w:t>Quantitative Evaluation Across Benchmark Scenarios</w:t>
      </w:r>
    </w:p>
    <w:p>
      <w:pPr>
        <w:spacing w:before="0" w:after="120" w:line="276" w:lineRule="auto"/>
        <w:jc w:val="left"/>
      </w:pPr>
      <w:r>
        <w:rPr>
          <w:rFonts w:ascii="Times New Roman" w:hAnsi="Times New Roman"/>
          <w:sz w:val="24"/>
        </w:rPr>
        <w:t>NetSleuth was evaluated against eight diverse synthetic network scenarios containing both normal enterprise traffic and malicious attack vectors. Detection accuracy was measured against ground-truth labels: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304"/>
            <w:shd w:fill="E2E8F0"/>
            <w:tcMar>
              <w:top w:w="120" w:type="dxa"/>
              <w:bottom w:w="120" w:type="dxa"/>
              <w:left w:w="150" w:type="dxa"/>
              <w:right w:w="150" w:type="dxa"/>
            </w:tcMar>
          </w:tcPr>
          <w:p>
            <w:pPr>
              <w:spacing w:before="40" w:after="40"/>
            </w:pPr>
            <w:r/>
            <w:r>
              <w:rPr>
                <w:rFonts w:ascii="Times New Roman" w:hAnsi="Times New Roman"/>
                <w:b/>
                <w:sz w:val="21"/>
              </w:rPr>
              <w:t>Scenario Name</w:t>
            </w:r>
          </w:p>
        </w:tc>
        <w:tc>
          <w:tcPr>
            <w:tcW w:type="dxa" w:w="1152"/>
            <w:shd w:fill="E2E8F0"/>
            <w:tcMar>
              <w:top w:w="120" w:type="dxa"/>
              <w:bottom w:w="120" w:type="dxa"/>
              <w:left w:w="150" w:type="dxa"/>
              <w:right w:w="150" w:type="dxa"/>
            </w:tcMar>
          </w:tcPr>
          <w:p>
            <w:pPr>
              <w:spacing w:before="40" w:after="40"/>
            </w:pPr>
            <w:r/>
            <w:r>
              <w:rPr>
                <w:rFonts w:ascii="Times New Roman" w:hAnsi="Times New Roman"/>
                <w:b/>
                <w:sz w:val="21"/>
              </w:rPr>
              <w:t>Total Flows</w:t>
            </w:r>
          </w:p>
        </w:tc>
        <w:tc>
          <w:tcPr>
            <w:tcW w:type="dxa" w:w="1152"/>
            <w:shd w:fill="E2E8F0"/>
            <w:tcMar>
              <w:top w:w="120" w:type="dxa"/>
              <w:bottom w:w="120" w:type="dxa"/>
              <w:left w:w="150" w:type="dxa"/>
              <w:right w:w="150" w:type="dxa"/>
            </w:tcMar>
          </w:tcPr>
          <w:p>
            <w:pPr>
              <w:spacing w:before="40" w:after="40"/>
            </w:pPr>
            <w:r/>
            <w:r>
              <w:rPr>
                <w:rFonts w:ascii="Times New Roman" w:hAnsi="Times New Roman"/>
                <w:b/>
                <w:sz w:val="21"/>
              </w:rPr>
              <w:t>Malicious</w:t>
            </w:r>
          </w:p>
        </w:tc>
        <w:tc>
          <w:tcPr>
            <w:tcW w:type="dxa" w:w="1584"/>
            <w:shd w:fill="E2E8F0"/>
            <w:tcMar>
              <w:top w:w="120" w:type="dxa"/>
              <w:bottom w:w="120" w:type="dxa"/>
              <w:left w:w="150" w:type="dxa"/>
              <w:right w:w="150" w:type="dxa"/>
            </w:tcMar>
          </w:tcPr>
          <w:p>
            <w:pPr>
              <w:spacing w:before="40" w:after="40"/>
            </w:pPr>
            <w:r/>
            <w:r>
              <w:rPr>
                <w:rFonts w:ascii="Times New Roman" w:hAnsi="Times New Roman"/>
                <w:b/>
                <w:sz w:val="21"/>
              </w:rPr>
              <w:t>Detected Alerts</w:t>
            </w:r>
          </w:p>
        </w:tc>
        <w:tc>
          <w:tcPr>
            <w:tcW w:type="dxa" w:w="1008"/>
            <w:shd w:fill="E2E8F0"/>
            <w:tcMar>
              <w:top w:w="120" w:type="dxa"/>
              <w:bottom w:w="120" w:type="dxa"/>
              <w:left w:w="150" w:type="dxa"/>
              <w:right w:w="150" w:type="dxa"/>
            </w:tcMar>
          </w:tcPr>
          <w:p>
            <w:pPr>
              <w:spacing w:before="40" w:after="40"/>
            </w:pPr>
            <w:r/>
            <w:r>
              <w:rPr>
                <w:rFonts w:ascii="Times New Roman" w:hAnsi="Times New Roman"/>
                <w:b/>
                <w:sz w:val="21"/>
              </w:rPr>
              <w:t>Precision</w:t>
            </w:r>
          </w:p>
        </w:tc>
        <w:tc>
          <w:tcPr>
            <w:tcW w:type="dxa" w:w="1008"/>
            <w:shd w:fill="E2E8F0"/>
            <w:tcMar>
              <w:top w:w="120" w:type="dxa"/>
              <w:bottom w:w="120" w:type="dxa"/>
              <w:left w:w="150" w:type="dxa"/>
              <w:right w:w="150" w:type="dxa"/>
            </w:tcMar>
          </w:tcPr>
          <w:p>
            <w:pPr>
              <w:spacing w:before="40" w:after="40"/>
            </w:pPr>
            <w:r/>
            <w:r>
              <w:rPr>
                <w:rFonts w:ascii="Times New Roman" w:hAnsi="Times New Roman"/>
                <w:b/>
                <w:sz w:val="21"/>
              </w:rPr>
              <w:t>Recall</w:t>
            </w:r>
          </w:p>
        </w:tc>
        <w:tc>
          <w:tcPr>
            <w:tcW w:type="dxa" w:w="1152"/>
            <w:shd w:fill="E2E8F0"/>
            <w:tcMar>
              <w:top w:w="120" w:type="dxa"/>
              <w:bottom w:w="120" w:type="dxa"/>
              <w:left w:w="150" w:type="dxa"/>
              <w:right w:w="150" w:type="dxa"/>
            </w:tcMar>
          </w:tcPr>
          <w:p>
            <w:pPr>
              <w:spacing w:before="40" w:after="40"/>
            </w:pPr>
            <w:r/>
            <w:r>
              <w:rPr>
                <w:rFonts w:ascii="Times New Roman" w:hAnsi="Times New Roman"/>
                <w:b/>
                <w:sz w:val="21"/>
              </w:rPr>
              <w:t>F1-Score</w:t>
            </w:r>
          </w:p>
        </w:tc>
      </w:tr>
      <w:tr>
        <w:tc>
          <w:tcPr>
            <w:tcW w:type="dxa" w:w="2304"/>
            <w:shd w:fill="FFFFFF"/>
            <w:tcMar>
              <w:top w:w="80" w:type="dxa"/>
              <w:bottom w:w="80" w:type="dxa"/>
              <w:left w:w="150" w:type="dxa"/>
              <w:right w:w="150" w:type="dxa"/>
            </w:tcMar>
          </w:tcPr>
          <w:p>
            <w:pPr>
              <w:spacing w:before="20" w:after="20"/>
            </w:pPr>
            <w:r/>
            <w:r>
              <w:rPr>
                <w:rFonts w:ascii="Times New Roman" w:hAnsi="Times New Roman"/>
                <w:sz w:val="20"/>
              </w:rPr>
              <w:t>Scenario 1: Port Scan</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200</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18</w:t>
            </w:r>
          </w:p>
        </w:tc>
        <w:tc>
          <w:tcPr>
            <w:tcW w:type="dxa" w:w="1584"/>
            <w:shd w:fill="FFFFFF"/>
            <w:tcMar>
              <w:top w:w="80" w:type="dxa"/>
              <w:bottom w:w="80" w:type="dxa"/>
              <w:left w:w="150" w:type="dxa"/>
              <w:right w:w="150" w:type="dxa"/>
            </w:tcMar>
          </w:tcPr>
          <w:p>
            <w:pPr>
              <w:spacing w:before="20" w:after="20"/>
            </w:pPr>
            <w:r/>
            <w:r>
              <w:rPr>
                <w:rFonts w:ascii="Times New Roman" w:hAnsi="Times New Roman"/>
                <w:sz w:val="20"/>
              </w:rPr>
              <w:t>1 (HIGH)</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1.0000</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1.0000</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1.0000</w:t>
            </w:r>
          </w:p>
        </w:tc>
      </w:tr>
      <w:tr>
        <w:tc>
          <w:tcPr>
            <w:tcW w:type="dxa" w:w="2304"/>
            <w:shd w:fill="F8FAFC"/>
            <w:tcMar>
              <w:top w:w="80" w:type="dxa"/>
              <w:bottom w:w="80" w:type="dxa"/>
              <w:left w:w="150" w:type="dxa"/>
              <w:right w:w="150" w:type="dxa"/>
            </w:tcMar>
          </w:tcPr>
          <w:p>
            <w:pPr>
              <w:spacing w:before="20" w:after="20"/>
            </w:pPr>
            <w:r/>
            <w:r>
              <w:rPr>
                <w:rFonts w:ascii="Times New Roman" w:hAnsi="Times New Roman"/>
                <w:sz w:val="20"/>
              </w:rPr>
              <w:t>Scenario 2: Host Sweep</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210</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12</w:t>
            </w:r>
          </w:p>
        </w:tc>
        <w:tc>
          <w:tcPr>
            <w:tcW w:type="dxa" w:w="1584"/>
            <w:shd w:fill="F8FAFC"/>
            <w:tcMar>
              <w:top w:w="80" w:type="dxa"/>
              <w:bottom w:w="80" w:type="dxa"/>
              <w:left w:w="150" w:type="dxa"/>
              <w:right w:w="150" w:type="dxa"/>
            </w:tcMar>
          </w:tcPr>
          <w:p>
            <w:pPr>
              <w:spacing w:before="20" w:after="20"/>
            </w:pPr>
            <w:r/>
            <w:r>
              <w:rPr>
                <w:rFonts w:ascii="Times New Roman" w:hAnsi="Times New Roman"/>
                <w:sz w:val="20"/>
              </w:rPr>
              <w:t>1 (MEDIUM)</w:t>
            </w:r>
          </w:p>
        </w:tc>
        <w:tc>
          <w:tcPr>
            <w:tcW w:type="dxa" w:w="1008"/>
            <w:shd w:fill="F8FAFC"/>
            <w:tcMar>
              <w:top w:w="80" w:type="dxa"/>
              <w:bottom w:w="80" w:type="dxa"/>
              <w:left w:w="150" w:type="dxa"/>
              <w:right w:w="150" w:type="dxa"/>
            </w:tcMar>
          </w:tcPr>
          <w:p>
            <w:pPr>
              <w:spacing w:before="20" w:after="20"/>
            </w:pPr>
            <w:r/>
            <w:r>
              <w:rPr>
                <w:rFonts w:ascii="Times New Roman" w:hAnsi="Times New Roman"/>
                <w:sz w:val="20"/>
              </w:rPr>
              <w:t>1.0000</w:t>
            </w:r>
          </w:p>
        </w:tc>
        <w:tc>
          <w:tcPr>
            <w:tcW w:type="dxa" w:w="1008"/>
            <w:shd w:fill="F8FAFC"/>
            <w:tcMar>
              <w:top w:w="80" w:type="dxa"/>
              <w:bottom w:w="80" w:type="dxa"/>
              <w:left w:w="150" w:type="dxa"/>
              <w:right w:w="150" w:type="dxa"/>
            </w:tcMar>
          </w:tcPr>
          <w:p>
            <w:pPr>
              <w:spacing w:before="20" w:after="20"/>
            </w:pPr>
            <w:r/>
            <w:r>
              <w:rPr>
                <w:rFonts w:ascii="Times New Roman" w:hAnsi="Times New Roman"/>
                <w:sz w:val="20"/>
              </w:rPr>
              <w:t>1.0000</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1.0000</w:t>
            </w:r>
          </w:p>
        </w:tc>
      </w:tr>
      <w:tr>
        <w:tc>
          <w:tcPr>
            <w:tcW w:type="dxa" w:w="2304"/>
            <w:shd w:fill="FFFFFF"/>
            <w:tcMar>
              <w:top w:w="80" w:type="dxa"/>
              <w:bottom w:w="80" w:type="dxa"/>
              <w:left w:w="150" w:type="dxa"/>
              <w:right w:w="150" w:type="dxa"/>
            </w:tcMar>
          </w:tcPr>
          <w:p>
            <w:pPr>
              <w:spacing w:before="20" w:after="20"/>
            </w:pPr>
            <w:r/>
            <w:r>
              <w:rPr>
                <w:rFonts w:ascii="Times New Roman" w:hAnsi="Times New Roman"/>
                <w:sz w:val="20"/>
              </w:rPr>
              <w:t>Scenario 3: Data Exfiltration</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220</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20</w:t>
            </w:r>
          </w:p>
        </w:tc>
        <w:tc>
          <w:tcPr>
            <w:tcW w:type="dxa" w:w="1584"/>
            <w:shd w:fill="FFFFFF"/>
            <w:tcMar>
              <w:top w:w="80" w:type="dxa"/>
              <w:bottom w:w="80" w:type="dxa"/>
              <w:left w:w="150" w:type="dxa"/>
              <w:right w:w="150" w:type="dxa"/>
            </w:tcMar>
          </w:tcPr>
          <w:p>
            <w:pPr>
              <w:spacing w:before="20" w:after="20"/>
            </w:pPr>
            <w:r/>
            <w:r>
              <w:rPr>
                <w:rFonts w:ascii="Times New Roman" w:hAnsi="Times New Roman"/>
                <w:sz w:val="20"/>
              </w:rPr>
              <w:t>1 (HIGH)</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1.0000</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1.0000</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1.0000</w:t>
            </w:r>
          </w:p>
        </w:tc>
      </w:tr>
      <w:tr>
        <w:tc>
          <w:tcPr>
            <w:tcW w:type="dxa" w:w="2304"/>
            <w:shd w:fill="F8FAFC"/>
            <w:tcMar>
              <w:top w:w="80" w:type="dxa"/>
              <w:bottom w:w="80" w:type="dxa"/>
              <w:left w:w="150" w:type="dxa"/>
              <w:right w:w="150" w:type="dxa"/>
            </w:tcMar>
          </w:tcPr>
          <w:p>
            <w:pPr>
              <w:spacing w:before="20" w:after="20"/>
            </w:pPr>
            <w:r/>
            <w:r>
              <w:rPr>
                <w:rFonts w:ascii="Times New Roman" w:hAnsi="Times New Roman"/>
                <w:sz w:val="20"/>
              </w:rPr>
              <w:t>Scenario 4: Multi-Stage Attack</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277</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50</w:t>
            </w:r>
          </w:p>
        </w:tc>
        <w:tc>
          <w:tcPr>
            <w:tcW w:type="dxa" w:w="1584"/>
            <w:shd w:fill="F8FAFC"/>
            <w:tcMar>
              <w:top w:w="80" w:type="dxa"/>
              <w:bottom w:w="80" w:type="dxa"/>
              <w:left w:w="150" w:type="dxa"/>
              <w:right w:w="150" w:type="dxa"/>
            </w:tcMar>
          </w:tcPr>
          <w:p>
            <w:pPr>
              <w:spacing w:before="20" w:after="20"/>
            </w:pPr>
            <w:r/>
            <w:r>
              <w:rPr>
                <w:rFonts w:ascii="Times New Roman" w:hAnsi="Times New Roman"/>
                <w:sz w:val="20"/>
              </w:rPr>
              <w:t>3 (CRITICAL)</w:t>
            </w:r>
          </w:p>
        </w:tc>
        <w:tc>
          <w:tcPr>
            <w:tcW w:type="dxa" w:w="1008"/>
            <w:shd w:fill="F8FAFC"/>
            <w:tcMar>
              <w:top w:w="80" w:type="dxa"/>
              <w:bottom w:w="80" w:type="dxa"/>
              <w:left w:w="150" w:type="dxa"/>
              <w:right w:w="150" w:type="dxa"/>
            </w:tcMar>
          </w:tcPr>
          <w:p>
            <w:pPr>
              <w:spacing w:before="20" w:after="20"/>
            </w:pPr>
            <w:r/>
            <w:r>
              <w:rPr>
                <w:rFonts w:ascii="Times New Roman" w:hAnsi="Times New Roman"/>
                <w:sz w:val="20"/>
              </w:rPr>
              <w:t>1.0000</w:t>
            </w:r>
          </w:p>
        </w:tc>
        <w:tc>
          <w:tcPr>
            <w:tcW w:type="dxa" w:w="1008"/>
            <w:shd w:fill="F8FAFC"/>
            <w:tcMar>
              <w:top w:w="80" w:type="dxa"/>
              <w:bottom w:w="80" w:type="dxa"/>
              <w:left w:w="150" w:type="dxa"/>
              <w:right w:w="150" w:type="dxa"/>
            </w:tcMar>
          </w:tcPr>
          <w:p>
            <w:pPr>
              <w:spacing w:before="20" w:after="20"/>
            </w:pPr>
            <w:r/>
            <w:r>
              <w:rPr>
                <w:rFonts w:ascii="Times New Roman" w:hAnsi="Times New Roman"/>
                <w:sz w:val="20"/>
              </w:rPr>
              <w:t>1.0000</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1.0000</w:t>
            </w:r>
          </w:p>
        </w:tc>
      </w:tr>
      <w:tr>
        <w:tc>
          <w:tcPr>
            <w:tcW w:type="dxa" w:w="2304"/>
            <w:shd w:fill="FFFFFF"/>
            <w:tcMar>
              <w:top w:w="80" w:type="dxa"/>
              <w:bottom w:w="80" w:type="dxa"/>
              <w:left w:w="150" w:type="dxa"/>
              <w:right w:w="150" w:type="dxa"/>
            </w:tcMar>
          </w:tcPr>
          <w:p>
            <w:pPr>
              <w:spacing w:before="20" w:after="20"/>
            </w:pPr>
            <w:r/>
            <w:r>
              <w:rPr>
                <w:rFonts w:ascii="Times New Roman" w:hAnsi="Times New Roman"/>
                <w:sz w:val="20"/>
              </w:rPr>
              <w:t>Scenario 5: Benign Baseline</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320</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0</w:t>
            </w:r>
          </w:p>
        </w:tc>
        <w:tc>
          <w:tcPr>
            <w:tcW w:type="dxa" w:w="1584"/>
            <w:shd w:fill="FFFFFF"/>
            <w:tcMar>
              <w:top w:w="80" w:type="dxa"/>
              <w:bottom w:w="80" w:type="dxa"/>
              <w:left w:w="150" w:type="dxa"/>
              <w:right w:w="150" w:type="dxa"/>
            </w:tcMar>
          </w:tcPr>
          <w:p>
            <w:pPr>
              <w:spacing w:before="20" w:after="20"/>
            </w:pPr>
            <w:r/>
            <w:r>
              <w:rPr>
                <w:rFonts w:ascii="Times New Roman" w:hAnsi="Times New Roman"/>
                <w:sz w:val="20"/>
              </w:rPr>
              <w:t>0 (NORMAL)</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1.0000</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1.0000</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1.0000</w:t>
            </w:r>
          </w:p>
        </w:tc>
      </w:tr>
      <w:tr>
        <w:tc>
          <w:tcPr>
            <w:tcW w:type="dxa" w:w="2304"/>
            <w:shd w:fill="F8FAFC"/>
            <w:tcMar>
              <w:top w:w="80" w:type="dxa"/>
              <w:bottom w:w="80" w:type="dxa"/>
              <w:left w:w="150" w:type="dxa"/>
              <w:right w:w="150" w:type="dxa"/>
            </w:tcMar>
          </w:tcPr>
          <w:p>
            <w:pPr>
              <w:spacing w:before="20" w:after="20"/>
            </w:pPr>
            <w:r/>
            <w:r>
              <w:rPr>
                <w:rFonts w:ascii="Times New Roman" w:hAnsi="Times New Roman"/>
                <w:sz w:val="20"/>
              </w:rPr>
              <w:t>Scenario 6: Persistent Threat</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250</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38</w:t>
            </w:r>
          </w:p>
        </w:tc>
        <w:tc>
          <w:tcPr>
            <w:tcW w:type="dxa" w:w="1584"/>
            <w:shd w:fill="F8FAFC"/>
            <w:tcMar>
              <w:top w:w="80" w:type="dxa"/>
              <w:bottom w:w="80" w:type="dxa"/>
              <w:left w:w="150" w:type="dxa"/>
              <w:right w:w="150" w:type="dxa"/>
            </w:tcMar>
          </w:tcPr>
          <w:p>
            <w:pPr>
              <w:spacing w:before="20" w:after="20"/>
            </w:pPr>
            <w:r/>
            <w:r>
              <w:rPr>
                <w:rFonts w:ascii="Times New Roman" w:hAnsi="Times New Roman"/>
                <w:sz w:val="20"/>
              </w:rPr>
              <w:t>2 (HIGH)</w:t>
            </w:r>
          </w:p>
        </w:tc>
        <w:tc>
          <w:tcPr>
            <w:tcW w:type="dxa" w:w="1008"/>
            <w:shd w:fill="F8FAFC"/>
            <w:tcMar>
              <w:top w:w="80" w:type="dxa"/>
              <w:bottom w:w="80" w:type="dxa"/>
              <w:left w:w="150" w:type="dxa"/>
              <w:right w:w="150" w:type="dxa"/>
            </w:tcMar>
          </w:tcPr>
          <w:p>
            <w:pPr>
              <w:spacing w:before="20" w:after="20"/>
            </w:pPr>
            <w:r/>
            <w:r>
              <w:rPr>
                <w:rFonts w:ascii="Times New Roman" w:hAnsi="Times New Roman"/>
                <w:sz w:val="20"/>
              </w:rPr>
              <w:t>1.0000</w:t>
            </w:r>
          </w:p>
        </w:tc>
        <w:tc>
          <w:tcPr>
            <w:tcW w:type="dxa" w:w="1008"/>
            <w:shd w:fill="F8FAFC"/>
            <w:tcMar>
              <w:top w:w="80" w:type="dxa"/>
              <w:bottom w:w="80" w:type="dxa"/>
              <w:left w:w="150" w:type="dxa"/>
              <w:right w:w="150" w:type="dxa"/>
            </w:tcMar>
          </w:tcPr>
          <w:p>
            <w:pPr>
              <w:spacing w:before="20" w:after="20"/>
            </w:pPr>
            <w:r/>
            <w:r>
              <w:rPr>
                <w:rFonts w:ascii="Times New Roman" w:hAnsi="Times New Roman"/>
                <w:sz w:val="20"/>
              </w:rPr>
              <w:t>1.0000</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1.0000</w:t>
            </w:r>
          </w:p>
        </w:tc>
      </w:tr>
      <w:tr>
        <w:tc>
          <w:tcPr>
            <w:tcW w:type="dxa" w:w="2304"/>
            <w:shd w:fill="FFFFFF"/>
            <w:tcMar>
              <w:top w:w="80" w:type="dxa"/>
              <w:bottom w:w="80" w:type="dxa"/>
              <w:left w:w="150" w:type="dxa"/>
              <w:right w:w="150" w:type="dxa"/>
            </w:tcMar>
          </w:tcPr>
          <w:p>
            <w:pPr>
              <w:spacing w:before="20" w:after="20"/>
            </w:pPr>
            <w:r/>
            <w:r>
              <w:rPr>
                <w:rFonts w:ascii="Times New Roman" w:hAnsi="Times New Roman"/>
                <w:sz w:val="20"/>
              </w:rPr>
              <w:t>Scenario 7: Coordinated Intrusion</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260</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42</w:t>
            </w:r>
          </w:p>
        </w:tc>
        <w:tc>
          <w:tcPr>
            <w:tcW w:type="dxa" w:w="1584"/>
            <w:shd w:fill="FFFFFF"/>
            <w:tcMar>
              <w:top w:w="80" w:type="dxa"/>
              <w:bottom w:w="80" w:type="dxa"/>
              <w:left w:w="150" w:type="dxa"/>
              <w:right w:w="150" w:type="dxa"/>
            </w:tcMar>
          </w:tcPr>
          <w:p>
            <w:pPr>
              <w:spacing w:before="20" w:after="20"/>
            </w:pPr>
            <w:r/>
            <w:r>
              <w:rPr>
                <w:rFonts w:ascii="Times New Roman" w:hAnsi="Times New Roman"/>
                <w:sz w:val="20"/>
              </w:rPr>
              <w:t>2 (HIGH)</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1.0000</w:t>
            </w:r>
          </w:p>
        </w:tc>
        <w:tc>
          <w:tcPr>
            <w:tcW w:type="dxa" w:w="1008"/>
            <w:shd w:fill="FFFFFF"/>
            <w:tcMar>
              <w:top w:w="80" w:type="dxa"/>
              <w:bottom w:w="80" w:type="dxa"/>
              <w:left w:w="150" w:type="dxa"/>
              <w:right w:w="150" w:type="dxa"/>
            </w:tcMar>
          </w:tcPr>
          <w:p>
            <w:pPr>
              <w:spacing w:before="20" w:after="20"/>
            </w:pPr>
            <w:r/>
            <w:r>
              <w:rPr>
                <w:rFonts w:ascii="Times New Roman" w:hAnsi="Times New Roman"/>
                <w:sz w:val="20"/>
              </w:rPr>
              <w:t>1.0000</w:t>
            </w:r>
          </w:p>
        </w:tc>
        <w:tc>
          <w:tcPr>
            <w:tcW w:type="dxa" w:w="1152"/>
            <w:shd w:fill="FFFFFF"/>
            <w:tcMar>
              <w:top w:w="80" w:type="dxa"/>
              <w:bottom w:w="80" w:type="dxa"/>
              <w:left w:w="150" w:type="dxa"/>
              <w:right w:w="150" w:type="dxa"/>
            </w:tcMar>
          </w:tcPr>
          <w:p>
            <w:pPr>
              <w:spacing w:before="20" w:after="20"/>
            </w:pPr>
            <w:r/>
            <w:r>
              <w:rPr>
                <w:rFonts w:ascii="Times New Roman" w:hAnsi="Times New Roman"/>
                <w:sz w:val="20"/>
              </w:rPr>
              <w:t>1.0000</w:t>
            </w:r>
          </w:p>
        </w:tc>
      </w:tr>
      <w:tr>
        <w:tc>
          <w:tcPr>
            <w:tcW w:type="dxa" w:w="2304"/>
            <w:shd w:fill="F8FAFC"/>
            <w:tcMar>
              <w:top w:w="80" w:type="dxa"/>
              <w:bottom w:w="80" w:type="dxa"/>
              <w:left w:w="150" w:type="dxa"/>
              <w:right w:w="150" w:type="dxa"/>
            </w:tcMar>
          </w:tcPr>
          <w:p>
            <w:pPr>
              <w:spacing w:before="20" w:after="20"/>
            </w:pPr>
            <w:r/>
            <w:r>
              <w:rPr>
                <w:rFonts w:ascii="Times New Roman" w:hAnsi="Times New Roman"/>
                <w:sz w:val="20"/>
              </w:rPr>
              <w:t>Scenario 8: Cloud DB Breach</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240</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10</w:t>
            </w:r>
          </w:p>
        </w:tc>
        <w:tc>
          <w:tcPr>
            <w:tcW w:type="dxa" w:w="1584"/>
            <w:shd w:fill="F8FAFC"/>
            <w:tcMar>
              <w:top w:w="80" w:type="dxa"/>
              <w:bottom w:w="80" w:type="dxa"/>
              <w:left w:w="150" w:type="dxa"/>
              <w:right w:w="150" w:type="dxa"/>
            </w:tcMar>
          </w:tcPr>
          <w:p>
            <w:pPr>
              <w:spacing w:before="20" w:after="20"/>
            </w:pPr>
            <w:r/>
            <w:r>
              <w:rPr>
                <w:rFonts w:ascii="Times New Roman" w:hAnsi="Times New Roman"/>
                <w:sz w:val="20"/>
              </w:rPr>
              <w:t>1 (HIGH)</w:t>
            </w:r>
          </w:p>
        </w:tc>
        <w:tc>
          <w:tcPr>
            <w:tcW w:type="dxa" w:w="1008"/>
            <w:shd w:fill="F8FAFC"/>
            <w:tcMar>
              <w:top w:w="80" w:type="dxa"/>
              <w:bottom w:w="80" w:type="dxa"/>
              <w:left w:w="150" w:type="dxa"/>
              <w:right w:w="150" w:type="dxa"/>
            </w:tcMar>
          </w:tcPr>
          <w:p>
            <w:pPr>
              <w:spacing w:before="20" w:after="20"/>
            </w:pPr>
            <w:r/>
            <w:r>
              <w:rPr>
                <w:rFonts w:ascii="Times New Roman" w:hAnsi="Times New Roman"/>
                <w:sz w:val="20"/>
              </w:rPr>
              <w:t>1.0000</w:t>
            </w:r>
          </w:p>
        </w:tc>
        <w:tc>
          <w:tcPr>
            <w:tcW w:type="dxa" w:w="1008"/>
            <w:shd w:fill="F8FAFC"/>
            <w:tcMar>
              <w:top w:w="80" w:type="dxa"/>
              <w:bottom w:w="80" w:type="dxa"/>
              <w:left w:w="150" w:type="dxa"/>
              <w:right w:w="150" w:type="dxa"/>
            </w:tcMar>
          </w:tcPr>
          <w:p>
            <w:pPr>
              <w:spacing w:before="20" w:after="20"/>
            </w:pPr>
            <w:r/>
            <w:r>
              <w:rPr>
                <w:rFonts w:ascii="Times New Roman" w:hAnsi="Times New Roman"/>
                <w:sz w:val="20"/>
              </w:rPr>
              <w:t>1.0000</w:t>
            </w:r>
          </w:p>
        </w:tc>
        <w:tc>
          <w:tcPr>
            <w:tcW w:type="dxa" w:w="1152"/>
            <w:shd w:fill="F8FAFC"/>
            <w:tcMar>
              <w:top w:w="80" w:type="dxa"/>
              <w:bottom w:w="80" w:type="dxa"/>
              <w:left w:w="150" w:type="dxa"/>
              <w:right w:w="150" w:type="dxa"/>
            </w:tcMar>
          </w:tcPr>
          <w:p>
            <w:pPr>
              <w:spacing w:before="20" w:after="20"/>
            </w:pPr>
            <w:r/>
            <w:r>
              <w:rPr>
                <w:rFonts w:ascii="Times New Roman" w:hAnsi="Times New Roman"/>
                <w:sz w:val="20"/>
              </w:rPr>
              <w:t>1.0000</w:t>
            </w:r>
          </w:p>
        </w:tc>
      </w:tr>
    </w:tbl>
    <w:p>
      <w:pPr>
        <w:spacing w:before="120"/>
      </w:pPr>
    </w:p>
    <w:p>
      <w:pPr>
        <w:spacing w:before="120" w:after="80"/>
        <w:jc w:val="center"/>
      </w:pPr>
      <w:r>
        <w:drawing>
          <wp:inline xmlns:a="http://schemas.openxmlformats.org/drawingml/2006/main" xmlns:pic="http://schemas.openxmlformats.org/drawingml/2006/picture">
            <wp:extent cx="5669280" cy="3897630"/>
            <wp:docPr id="2" name="Picture 2"/>
            <wp:cNvGraphicFramePr>
              <a:graphicFrameLocks noChangeAspect="1"/>
            </wp:cNvGraphicFramePr>
            <a:graphic>
              <a:graphicData uri="http://schemas.openxmlformats.org/drawingml/2006/picture">
                <pic:pic>
                  <pic:nvPicPr>
                    <pic:cNvPr id="0" name="fig5_1_incidents_score.png"/>
                    <pic:cNvPicPr/>
                  </pic:nvPicPr>
                  <pic:blipFill>
                    <a:blip r:embed="rId10"/>
                    <a:stretch>
                      <a:fillRect/>
                    </a:stretch>
                  </pic:blipFill>
                  <pic:spPr>
                    <a:xfrm>
                      <a:off x="0" y="0"/>
                      <a:ext cx="5669280" cy="3897630"/>
                    </a:xfrm>
                    <a:prstGeom prst="rect"/>
                  </pic:spPr>
                </pic:pic>
              </a:graphicData>
            </a:graphic>
          </wp:inline>
        </w:drawing>
      </w:r>
    </w:p>
    <w:p>
      <w:pPr>
        <w:spacing w:before="40" w:after="240"/>
        <w:jc w:val="center"/>
      </w:pPr>
      <w:r>
        <w:rPr>
          <w:rFonts w:ascii="Times New Roman" w:hAnsi="Times New Roman"/>
          <w:i/>
          <w:sz w:val="20"/>
        </w:rPr>
        <w:t>Figure 11.1: NetSleuth SOC Dashboard — Multi-Stage Attack Incident View &amp; Kill Chain Progression</w:t>
      </w:r>
    </w:p>
    <w:p>
      <w:pPr>
        <w:keepNext/>
        <w:spacing w:before="320" w:after="120"/>
      </w:pPr>
      <w:r>
        <w:rPr>
          <w:rFonts w:ascii="Times New Roman" w:hAnsi="Times New Roman"/>
          <w:b/>
          <w:sz w:val="28"/>
        </w:rPr>
        <w:t>12. FUTURE ENHANCEMENTS</w:t>
      </w:r>
    </w:p>
    <w:p>
      <w:pPr>
        <w:spacing w:before="0" w:after="120" w:line="276" w:lineRule="auto"/>
        <w:jc w:val="left"/>
      </w:pPr>
      <w:r>
        <w:rPr>
          <w:rFonts w:ascii="Times New Roman" w:hAnsi="Times New Roman"/>
          <w:sz w:val="24"/>
        </w:rPr>
        <w:t>While NetSleuth successfully meets its design objectives as a lightweight, explainable threat detection and forensic tool, several practical enhancements could expand its operational capabilities:</w:t>
      </w:r>
    </w:p>
    <w:p>
      <w:pPr>
        <w:spacing w:before="0" w:after="120" w:line="276" w:lineRule="auto"/>
        <w:jc w:val="left"/>
      </w:pPr>
      <w:r>
        <w:rPr>
          <w:rFonts w:ascii="Times New Roman" w:hAnsi="Times New Roman"/>
          <w:b/>
          <w:sz w:val="24"/>
        </w:rPr>
        <w:t xml:space="preserve">Streaming Telemetry: </w:t>
      </w:r>
      <w:r>
        <w:rPr>
          <w:rFonts w:ascii="Times New Roman" w:hAnsi="Times New Roman"/>
          <w:sz w:val="24"/>
        </w:rPr>
        <w:t>1. Real-Time Streaming Ingestion: The current architecture processes batch CSV files. A valuable future extension would be integrating real-time streaming ingestion directly from AWS Kinesis Data Firehose or CloudWatch Logs streams, allowing near-instantaneous incident correlation as flows occur.</w:t>
      </w:r>
    </w:p>
    <w:p>
      <w:pPr>
        <w:spacing w:before="0" w:after="120" w:line="276" w:lineRule="auto"/>
        <w:jc w:val="left"/>
      </w:pPr>
      <w:r>
        <w:rPr>
          <w:rFonts w:ascii="Times New Roman" w:hAnsi="Times New Roman"/>
          <w:b/>
          <w:sz w:val="24"/>
        </w:rPr>
        <w:t xml:space="preserve">Dynamic Sensitivity: </w:t>
      </w:r>
      <w:r>
        <w:rPr>
          <w:rFonts w:ascii="Times New Roman" w:hAnsi="Times New Roman"/>
          <w:sz w:val="24"/>
        </w:rPr>
        <w:t>2. Dynamic Rule Configuration in UI: Detection thresholds (such as the 10-port or 500 KB thresholds) are currently maintained in config.py. Future versions could provide slider controls directly within the dashboard sidebar, allowing security engineers to adjust sensitivity dynamically for different network environments.</w:t>
      </w:r>
    </w:p>
    <w:p>
      <w:pPr>
        <w:spacing w:before="0" w:after="120" w:line="276" w:lineRule="auto"/>
        <w:jc w:val="left"/>
      </w:pPr>
      <w:r>
        <w:rPr>
          <w:rFonts w:ascii="Times New Roman" w:hAnsi="Times New Roman"/>
          <w:b/>
          <w:sz w:val="24"/>
        </w:rPr>
        <w:t xml:space="preserve">Multi-Cloud Support: </w:t>
      </w:r>
      <w:r>
        <w:rPr>
          <w:rFonts w:ascii="Times New Roman" w:hAnsi="Times New Roman"/>
          <w:sz w:val="24"/>
        </w:rPr>
        <w:t>3. Multi-Cloud Format Normalization: Expanding the ingestion layer to support Microsoft Azure Network Security Group (NSG) flow logs, Google Cloud VPC flow logs, and Zeek/Bro connection logs would make NetSleuth a universal multi-cloud forensic analyzer.</w:t>
      </w:r>
    </w:p>
    <w:p>
      <w:pPr>
        <w:spacing w:before="0" w:after="120" w:line="276" w:lineRule="auto"/>
        <w:jc w:val="left"/>
      </w:pPr>
      <w:r>
        <w:rPr>
          <w:rFonts w:ascii="Times New Roman" w:hAnsi="Times New Roman"/>
          <w:b/>
          <w:sz w:val="24"/>
        </w:rPr>
        <w:t xml:space="preserve">Automated Response: </w:t>
      </w:r>
      <w:r>
        <w:rPr>
          <w:rFonts w:ascii="Times New Roman" w:hAnsi="Times New Roman"/>
          <w:sz w:val="24"/>
        </w:rPr>
        <w:t>4. Automated Cloud Remediation Hooks: Introducing optional, authenticated API connectors to AWS Systems Manager or AWS WAF could enable security analysts to enact recommended playbooks—such as detaching a compromised security group or applying a temporary Network ACL block—with a single confirmation click.</w:t>
      </w:r>
    </w:p>
    <w:p>
      <w:pPr>
        <w:spacing w:before="0" w:after="120" w:line="276" w:lineRule="auto"/>
        <w:jc w:val="left"/>
      </w:pPr>
      <w:r>
        <w:rPr>
          <w:rFonts w:ascii="Times New Roman" w:hAnsi="Times New Roman"/>
          <w:b/>
          <w:sz w:val="24"/>
        </w:rPr>
        <w:t xml:space="preserve">Threat Intelligence: </w:t>
      </w:r>
      <w:r>
        <w:rPr>
          <w:rFonts w:ascii="Times New Roman" w:hAnsi="Times New Roman"/>
          <w:sz w:val="24"/>
        </w:rPr>
        <w:t>5. Historical Threat Intelligence Integration: Enriching identified threat actor IPs with open-source threat intelligence feeds (such as AlienVault OTX or AbuseIPDB) would provide external reputation scores alongside NetSleuth's internal behavioral scores.</w:t>
      </w:r>
    </w:p>
    <w:p>
      <w:pPr>
        <w:keepNext/>
        <w:spacing w:before="320" w:after="120"/>
      </w:pPr>
      <w:r>
        <w:rPr>
          <w:rFonts w:ascii="Times New Roman" w:hAnsi="Times New Roman"/>
          <w:b/>
          <w:sz w:val="28"/>
        </w:rPr>
        <w:t>13. CONCLUSION</w:t>
      </w:r>
    </w:p>
    <w:p>
      <w:pPr>
        <w:spacing w:before="0" w:after="120" w:line="276" w:lineRule="auto"/>
        <w:jc w:val="left"/>
      </w:pPr>
      <w:r>
        <w:rPr>
          <w:rFonts w:ascii="Times New Roman" w:hAnsi="Times New Roman"/>
          <w:sz w:val="24"/>
        </w:rPr>
        <w:t>NetSleuth demonstrates that effective, high-precision cloud network threat detection does not require complex multi-server infrastructure or opaque, black-box artificial intelligence. By combining standardized AWS VPC Flow Log ingestion, deterministic sliding-window heuristics, and temporal incident correlation, the platform provides security analysts with immediate, defensible forensic clarity.</w:t>
      </w:r>
    </w:p>
    <w:p>
      <w:pPr>
        <w:spacing w:before="0" w:after="120" w:line="276" w:lineRule="auto"/>
        <w:jc w:val="left"/>
      </w:pPr>
      <w:r>
        <w:rPr>
          <w:rFonts w:ascii="Times New Roman" w:hAnsi="Times New Roman"/>
          <w:sz w:val="24"/>
        </w:rPr>
        <w:t>The system successfully detects key stages of the cyber kill chain—reconnaissance port scans, lateral movement host sweeps, and unauthorized data exfiltration—with 100% precision and zero false alarms on normal baseline traffic. By organizing alerts into unified incidents with an additive scoring model (0–100), NetSleuth eliminates alert fatigue and provides an explicit point-by-point audit trail for every finding.</w:t>
      </w:r>
    </w:p>
    <w:p>
      <w:pPr>
        <w:spacing w:before="0" w:after="120" w:line="276" w:lineRule="auto"/>
        <w:jc w:val="left"/>
      </w:pPr>
      <w:r>
        <w:rPr>
          <w:rFonts w:ascii="Times New Roman" w:hAnsi="Times New Roman"/>
          <w:sz w:val="24"/>
        </w:rPr>
        <w:t>The integration of MITRE ATT&amp;CK framework mapping, interactive NetworkX topology graphs, chronological timeline scatter plots, and prescriptive containment playbooks bridges the critical gap between raw telemetry and actionable incident response. The entire pipeline runs reliably on commodity hardware with sub-second execution speeds.</w:t>
      </w:r>
    </w:p>
    <w:p>
      <w:pPr>
        <w:spacing w:before="0" w:after="120" w:line="276" w:lineRule="auto"/>
        <w:jc w:val="left"/>
      </w:pPr>
      <w:r>
        <w:rPr>
          <w:rFonts w:ascii="Times New Roman" w:hAnsi="Times New Roman"/>
          <w:sz w:val="24"/>
        </w:rPr>
        <w:t>In conclusion, NetSleuth serves as a practical, transparent, and robust demonstration of explainable network security analysis. It provides an ideal educational platform for understanding cloud network forensics and a solid foundation for lightweight enterprise security monitoring.</w:t>
      </w:r>
    </w:p>
    <w:p>
      <w:pPr>
        <w:keepNext/>
        <w:spacing w:before="320" w:after="120"/>
      </w:pPr>
      <w:r>
        <w:rPr>
          <w:rFonts w:ascii="Times New Roman" w:hAnsi="Times New Roman"/>
          <w:b/>
          <w:sz w:val="28"/>
        </w:rPr>
        <w:t>14. REFERENCES</w:t>
      </w:r>
    </w:p>
    <w:p>
      <w:pPr>
        <w:spacing w:before="60" w:after="80" w:line="276" w:lineRule="auto"/>
        <w:jc w:val="left"/>
      </w:pPr>
      <w:r>
        <w:rPr>
          <w:rFonts w:ascii="Times New Roman" w:hAnsi="Times New Roman"/>
          <w:sz w:val="24"/>
        </w:rPr>
        <w:t>1. Amazon Web Services. (2024). Amazon Virtual Private Cloud Flow Logs Documentation. Available at: https://docs.aws.amazon.com/vpc/latest/userguide/flow-logs.html</w:t>
      </w:r>
    </w:p>
    <w:p>
      <w:pPr>
        <w:spacing w:before="60" w:after="80" w:line="276" w:lineRule="auto"/>
        <w:jc w:val="left"/>
      </w:pPr>
      <w:r>
        <w:rPr>
          <w:rFonts w:ascii="Times New Roman" w:hAnsi="Times New Roman"/>
          <w:sz w:val="24"/>
        </w:rPr>
        <w:t>2. MITRE Corporation. (2024). MITRE ATT&amp;CK Enterprise Matrix for Network Infrastructure. Available at: https://attack.mitre.org/</w:t>
      </w:r>
    </w:p>
    <w:p>
      <w:pPr>
        <w:spacing w:before="60" w:after="80" w:line="276" w:lineRule="auto"/>
        <w:jc w:val="left"/>
      </w:pPr>
      <w:r>
        <w:rPr>
          <w:rFonts w:ascii="Times New Roman" w:hAnsi="Times New Roman"/>
          <w:sz w:val="24"/>
        </w:rPr>
        <w:t>3. Streamlit Inc. (2024). Streamlit: The Fastest Way to Build Data Apps in Python. Available at: https://docs.streamlit.io/</w:t>
      </w:r>
    </w:p>
    <w:p>
      <w:pPr>
        <w:spacing w:before="60" w:after="80" w:line="276" w:lineRule="auto"/>
        <w:jc w:val="left"/>
      </w:pPr>
      <w:r>
        <w:rPr>
          <w:rFonts w:ascii="Times New Roman" w:hAnsi="Times New Roman"/>
          <w:sz w:val="24"/>
        </w:rPr>
        <w:t>4. Python Software Foundation. (2024). Python 3.12 Documentation and Standard Library. Available at: https://docs.python.org/3/</w:t>
      </w:r>
    </w:p>
    <w:p>
      <w:pPr>
        <w:spacing w:before="60" w:after="80" w:line="276" w:lineRule="auto"/>
        <w:jc w:val="left"/>
      </w:pPr>
      <w:r>
        <w:rPr>
          <w:rFonts w:ascii="Times New Roman" w:hAnsi="Times New Roman"/>
          <w:sz w:val="24"/>
        </w:rPr>
        <w:t>5. McKinney, W. (2010). Data Structures for Statistical Computing in Python (Pandas). Proceedings of the 9th Python in Science Conference, pp. 51-56.</w:t>
      </w:r>
    </w:p>
    <w:p>
      <w:pPr>
        <w:spacing w:before="60" w:after="80" w:line="276" w:lineRule="auto"/>
        <w:jc w:val="left"/>
      </w:pPr>
      <w:r>
        <w:rPr>
          <w:rFonts w:ascii="Times New Roman" w:hAnsi="Times New Roman"/>
          <w:sz w:val="24"/>
        </w:rPr>
        <w:t>6. Hagberg, A., Swart, P., &amp; Chult, D. (2008). Exploring Network Structure, Dynamics, and Function using NetworkX. Proceedings of the 7th Python in Science Conference, pp. 11-15.</w:t>
      </w:r>
    </w:p>
    <w:p>
      <w:pPr>
        <w:spacing w:before="60" w:after="80" w:line="276" w:lineRule="auto"/>
        <w:jc w:val="left"/>
      </w:pPr>
      <w:r>
        <w:rPr>
          <w:rFonts w:ascii="Times New Roman" w:hAnsi="Times New Roman"/>
          <w:sz w:val="24"/>
        </w:rPr>
        <w:t>7. Plotly Technologies Inc. (2024). Plotly Python Open Source Graphing Library. Available at: https://plotly.com/python/</w:t>
      </w:r>
    </w:p>
    <w:p>
      <w:pPr>
        <w:spacing w:before="60" w:after="80" w:line="276" w:lineRule="auto"/>
        <w:jc w:val="left"/>
      </w:pPr>
      <w:r>
        <w:rPr>
          <w:rFonts w:ascii="Times New Roman" w:hAnsi="Times New Roman"/>
          <w:sz w:val="24"/>
        </w:rPr>
        <w:t>8. National Institute of Standards and Technology (NIST). (2012). Computer Security Incident Handling Guide (Special Publication 800-61 Rev. 2). U.S. Department of Commerce.</w:t>
      </w:r>
    </w:p>
    <w:p>
      <w:pPr>
        <w:spacing w:before="60" w:after="80" w:line="276" w:lineRule="auto"/>
        <w:jc w:val="left"/>
      </w:pPr>
      <w:r>
        <w:rPr>
          <w:rFonts w:ascii="Times New Roman" w:hAnsi="Times New Roman"/>
          <w:sz w:val="24"/>
        </w:rPr>
        <w:t>9. Scarfone, K., &amp; Mell, P. (2007). Guide to Intrusion Detection and Prevention Systems (IDPS). NIST Special Publication 800-94.</w:t>
      </w:r>
    </w:p>
    <w:p>
      <w:pPr>
        <w:spacing w:before="60" w:after="80" w:line="276" w:lineRule="auto"/>
        <w:jc w:val="left"/>
      </w:pPr>
      <w:r>
        <w:rPr>
          <w:rFonts w:ascii="Times New Roman" w:hAnsi="Times New Roman"/>
          <w:sz w:val="24"/>
        </w:rPr>
        <w:t>10. NetSleuth Source Code Repository. Available at: https://github.com/NileshSethi/NetSleuth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