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VETKIND ANIMAL HEALTH INDIA</w:t>
      </w:r>
    </w:p>
    <w:p>
      <w:pPr>
        <w:jc w:val="center"/>
      </w:pPr>
      <w:r>
        <w:rPr>
          <w:b/>
          <w:sz w:val="44"/>
        </w:rPr>
        <w:t>SPRINT 14 — COMMERCE CORE</w:t>
      </w:r>
    </w:p>
    <w:p>
      <w:pPr>
        <w:jc w:val="center"/>
      </w:pPr>
      <w:r>
        <w:rPr>
          <w:b/>
          <w:sz w:val="26"/>
        </w:rPr>
        <w:t>Shopping Cart → Checkout → Razorpay Payment → Orders</w:t>
      </w:r>
    </w:p>
    <w:p>
      <w:pPr>
        <w:jc w:val="center"/>
      </w:pPr>
      <w:r>
        <w:rPr>
          <w:i/>
        </w:rPr>
        <w:t>Implementation Specification • Web-first, Mobile-ready • Approval required before coding</w:t>
      </w:r>
    </w:p>
    <w:p>
      <w:pPr>
        <w:pStyle w:val="Heading1"/>
      </w:pPr>
      <w:r>
        <w:t>1. Sprint Objective</w:t>
      </w:r>
    </w:p>
    <w:p>
      <w:r>
        <w:t>Build a production-ready VetKind Commerce Core that works on the existing Next.js website and is architected to power future Android and iOS applications from the same Supabase/PostgreSQL database, server-side business rules, authentication and payment infrastructure.</w:t>
      </w:r>
    </w:p>
    <w:p>
      <w:r>
        <w:t>Primary customer journey: Product → Variant → Cart → Checkout → GST/HSN → Razorpay → Order.</w:t>
      </w:r>
    </w:p>
    <w:p>
      <w:pPr>
        <w:pStyle w:val="Heading1"/>
      </w:pPr>
      <w:r>
        <w:t>2. Architectural Principle</w:t>
      </w:r>
    </w:p>
    <w:p>
      <w:r>
        <w:t>The website is one client of VetKind Commerce. Do not build a web-only cart. Business logic must be API/server/database driven so future mobile clients consume the same commerce contract.</w:t>
      </w:r>
    </w:p>
    <w:p>
      <w:r>
        <w:t>Target architecture:</w:t>
      </w:r>
    </w:p>
    <w:p>
      <w:pPr>
        <w:pStyle w:val="ListBullet"/>
      </w:pPr>
      <w:r>
        <w:t>Next.js Web Client + future Android/iOS Clients</w:t>
      </w:r>
    </w:p>
    <w:p>
      <w:pPr>
        <w:pStyle w:val="ListBullet"/>
      </w:pPr>
      <w:r>
        <w:t>Shared Commerce API / Server Layer</w:t>
      </w:r>
    </w:p>
    <w:p>
      <w:pPr>
        <w:pStyle w:val="ListBullet"/>
      </w:pPr>
      <w:r>
        <w:t>Supabase PostgreSQL + RLS + migrations + RPC where required</w:t>
      </w:r>
    </w:p>
    <w:p>
      <w:pPr>
        <w:pStyle w:val="ListBullet"/>
      </w:pPr>
      <w:r>
        <w:t>Razorpay Payment Gateway</w:t>
      </w:r>
    </w:p>
    <w:p>
      <w:pPr>
        <w:pStyle w:val="Heading1"/>
      </w:pPr>
      <w:r>
        <w:t>3. Scope &amp; Sprint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Phase</w:t>
            </w:r>
          </w:p>
        </w:tc>
        <w:tc>
          <w:tcPr>
            <w:tcW w:type="dxa" w:w="3408"/>
          </w:tcPr>
          <w:p>
            <w:r>
              <w:t>Scope</w:t>
            </w:r>
          </w:p>
        </w:tc>
        <w:tc>
          <w:tcPr>
            <w:tcW w:type="dxa" w:w="3408"/>
          </w:tcPr>
          <w:p>
            <w:r>
              <w:t>Deliverable</w:t>
            </w:r>
          </w:p>
        </w:tc>
      </w:tr>
      <w:tr>
        <w:tc>
          <w:tcPr>
            <w:tcW w:type="dxa" w:w="3408"/>
          </w:tcPr>
          <w:p>
            <w:r>
              <w:t>14.0–14.1</w:t>
            </w:r>
          </w:p>
        </w:tc>
        <w:tc>
          <w:tcPr>
            <w:tcW w:type="dxa" w:w="3408"/>
          </w:tcPr>
          <w:p>
            <w:r>
              <w:t>Foundation + API contract</w:t>
            </w:r>
          </w:p>
        </w:tc>
        <w:tc>
          <w:tcPr>
            <w:tcW w:type="dxa" w:w="3408"/>
          </w:tcPr>
          <w:p>
            <w:r>
              <w:t>Audited commerce architecture, schema plan, stable API contract</w:t>
            </w:r>
          </w:p>
        </w:tc>
      </w:tr>
      <w:tr>
        <w:tc>
          <w:tcPr>
            <w:tcW w:type="dxa" w:w="3408"/>
          </w:tcPr>
          <w:p>
            <w:r>
              <w:t>14.2–14.4</w:t>
            </w:r>
          </w:p>
        </w:tc>
        <w:tc>
          <w:tcPr>
            <w:tcW w:type="dxa" w:w="3408"/>
          </w:tcPr>
          <w:p>
            <w:r>
              <w:t>Shopping Cart</w:t>
            </w:r>
          </w:p>
        </w:tc>
        <w:tc>
          <w:tcPr>
            <w:tcW w:type="dxa" w:w="3408"/>
          </w:tcPr>
          <w:p>
            <w:r>
              <w:t>Persistent guest/auth cart, merge, inventory reservation</w:t>
            </w:r>
          </w:p>
        </w:tc>
      </w:tr>
      <w:tr>
        <w:tc>
          <w:tcPr>
            <w:tcW w:type="dxa" w:w="3408"/>
          </w:tcPr>
          <w:p>
            <w:r>
              <w:t>14.5–14.7</w:t>
            </w:r>
          </w:p>
        </w:tc>
        <w:tc>
          <w:tcPr>
            <w:tcW w:type="dxa" w:w="3408"/>
          </w:tcPr>
          <w:p>
            <w:r>
              <w:t>Checkout</w:t>
            </w:r>
          </w:p>
        </w:tc>
        <w:tc>
          <w:tcPr>
            <w:tcW w:type="dxa" w:w="3408"/>
          </w:tcPr>
          <w:p>
            <w:r>
              <w:t>Address, pincode serviceability, GST/HSN, server totals</w:t>
            </w:r>
          </w:p>
        </w:tc>
      </w:tr>
      <w:tr>
        <w:tc>
          <w:tcPr>
            <w:tcW w:type="dxa" w:w="3408"/>
          </w:tcPr>
          <w:p>
            <w:r>
              <w:t>14.8–14.9</w:t>
            </w:r>
          </w:p>
        </w:tc>
        <w:tc>
          <w:tcPr>
            <w:tcW w:type="dxa" w:w="3408"/>
          </w:tcPr>
          <w:p>
            <w:r>
              <w:t>Payment</w:t>
            </w:r>
          </w:p>
        </w:tc>
        <w:tc>
          <w:tcPr>
            <w:tcW w:type="dxa" w:w="3408"/>
          </w:tcPr>
          <w:p>
            <w:r>
              <w:t>Razorpay order, verification, webhook, idempotency</w:t>
            </w:r>
          </w:p>
        </w:tc>
      </w:tr>
      <w:tr>
        <w:tc>
          <w:tcPr>
            <w:tcW w:type="dxa" w:w="3408"/>
          </w:tcPr>
          <w:p>
            <w:r>
              <w:t>14.10–14.12</w:t>
            </w:r>
          </w:p>
        </w:tc>
        <w:tc>
          <w:tcPr>
            <w:tcW w:type="dxa" w:w="3408"/>
          </w:tcPr>
          <w:p>
            <w:r>
              <w:t>Orders</w:t>
            </w:r>
          </w:p>
        </w:tc>
        <w:tc>
          <w:tcPr>
            <w:tcW w:type="dxa" w:w="3408"/>
          </w:tcPr>
          <w:p>
            <w:r>
              <w:t>Order state machine, order history, invoice foundation</w:t>
            </w:r>
          </w:p>
        </w:tc>
      </w:tr>
      <w:tr>
        <w:tc>
          <w:tcPr>
            <w:tcW w:type="dxa" w:w="3408"/>
          </w:tcPr>
          <w:p>
            <w:r>
              <w:t>14.13–14.15</w:t>
            </w:r>
          </w:p>
        </w:tc>
        <w:tc>
          <w:tcPr>
            <w:tcW w:type="dxa" w:w="3408"/>
          </w:tcPr>
          <w:p>
            <w:r>
              <w:t>Mobile readiness + security</w:t>
            </w:r>
          </w:p>
        </w:tc>
        <w:tc>
          <w:tcPr>
            <w:tcW w:type="dxa" w:w="3408"/>
          </w:tcPr>
          <w:p>
            <w:r>
              <w:t>Shared auth/API contract, RLS, server/client boundaries</w:t>
            </w:r>
          </w:p>
        </w:tc>
      </w:tr>
      <w:tr>
        <w:tc>
          <w:tcPr>
            <w:tcW w:type="dxa" w:w="3408"/>
          </w:tcPr>
          <w:p>
            <w:r>
              <w:t>14.16</w:t>
            </w:r>
          </w:p>
        </w:tc>
        <w:tc>
          <w:tcPr>
            <w:tcW w:type="dxa" w:w="3408"/>
          </w:tcPr>
          <w:p>
            <w:r>
              <w:t>QA</w:t>
            </w:r>
          </w:p>
        </w:tc>
        <w:tc>
          <w:tcPr>
            <w:tcW w:type="dxa" w:w="3408"/>
          </w:tcPr>
          <w:p>
            <w:r>
              <w:t>E2E, concurrency, payment failure/retry and security verification</w:t>
            </w:r>
          </w:p>
        </w:tc>
      </w:tr>
    </w:tbl>
    <w:p>
      <w:pPr>
        <w:pStyle w:val="Heading1"/>
      </w:pPr>
      <w:r>
        <w:t>4. Database Foundation</w:t>
      </w:r>
    </w:p>
    <w:p>
      <w:r>
        <w:t>Reuse existing schema where sound; do not duplicate existing VetKind entities. Add migrations only for confirmed gaps.</w:t>
      </w:r>
    </w:p>
    <w:p>
      <w:pPr>
        <w:pStyle w:val="ListBullet"/>
      </w:pPr>
      <w:r>
        <w:t>products / product_variants / inventory</w:t>
      </w:r>
    </w:p>
    <w:p>
      <w:pPr>
        <w:pStyle w:val="ListBullet"/>
      </w:pPr>
      <w:r>
        <w:t>carts / cart_items</w:t>
      </w:r>
    </w:p>
    <w:p>
      <w:pPr>
        <w:pStyle w:val="ListBullet"/>
      </w:pPr>
      <w:r>
        <w:t>addresses / serviceable_pincodes</w:t>
      </w:r>
    </w:p>
    <w:p>
      <w:pPr>
        <w:pStyle w:val="ListBullet"/>
      </w:pPr>
      <w:r>
        <w:t>inventory_reservations</w:t>
      </w:r>
    </w:p>
    <w:p>
      <w:pPr>
        <w:pStyle w:val="ListBullet"/>
      </w:pPr>
      <w:r>
        <w:t>orders / order_items / order_status_history</w:t>
      </w:r>
    </w:p>
    <w:p>
      <w:pPr>
        <w:pStyle w:val="ListBullet"/>
      </w:pPr>
      <w:r>
        <w:t>payments / payment_events</w:t>
      </w:r>
    </w:p>
    <w:p>
      <w:pPr>
        <w:pStyle w:val="ListBullet"/>
      </w:pPr>
      <w:r>
        <w:t>coupons (only if supported by current business scope)</w:t>
      </w:r>
    </w:p>
    <w:p>
      <w:r>
        <w:t>Rules:</w:t>
      </w:r>
    </w:p>
    <w:p>
      <w:pPr>
        <w:pStyle w:val="ListBullet"/>
      </w:pPr>
      <w:r>
        <w:t>Database is authoritative for price, tax, inventory, order and payment state.</w:t>
      </w:r>
    </w:p>
    <w:p>
      <w:pPr>
        <w:pStyle w:val="ListBullet"/>
      </w:pPr>
      <w:r>
        <w:t>Use integer paisa/BIGINT or strict DECIMAL for monetary values; never rely on floating-point money calculations.</w:t>
      </w:r>
    </w:p>
    <w:p>
      <w:pPr>
        <w:pStyle w:val="ListBullet"/>
      </w:pPr>
      <w:r>
        <w:t>Cart items reference product/variant; do not trust or persist client-supplied price as authoritative.</w:t>
      </w:r>
    </w:p>
    <w:p>
      <w:pPr>
        <w:pStyle w:val="ListBullet"/>
      </w:pPr>
      <w:r>
        <w:t>Order items store historical product/variant/price/tax snapshots so old orders remain correct after catalogue changes.</w:t>
      </w:r>
    </w:p>
    <w:p>
      <w:pPr>
        <w:pStyle w:val="ListBullet"/>
      </w:pPr>
      <w:r>
        <w:t>Use foreign keys, unique constraints, indexes, CHECK constraints and RLS as appropriate.</w:t>
      </w:r>
    </w:p>
    <w:p>
      <w:pPr>
        <w:pStyle w:val="ListBullet"/>
      </w:pPr>
      <w:r>
        <w:t>All schema changes go through timestamped Supabase migrations.</w:t>
      </w:r>
    </w:p>
    <w:p>
      <w:pPr>
        <w:pStyle w:val="Heading1"/>
      </w:pPr>
      <w:r>
        <w:t>5. API-First Commerce Contract</w:t>
      </w:r>
    </w:p>
    <w:p>
      <w:r>
        <w:t>The exact route names must be reconciled with existing project conventions before implementation. Target capabilities:</w:t>
      </w:r>
    </w:p>
    <w:p>
      <w:r>
        <w:rPr>
          <w:b/>
        </w:rPr>
        <w:t xml:space="preserve">Products: </w:t>
      </w:r>
      <w:r>
        <w:t>GET /api/shop/products</w:t>
        <w:br/>
        <w:t>GET /api/shop/products/[slug]</w:t>
      </w:r>
    </w:p>
    <w:p>
      <w:r>
        <w:rPr>
          <w:b/>
        </w:rPr>
        <w:t xml:space="preserve">Cart: </w:t>
      </w:r>
      <w:r>
        <w:t>GET /api/cart</w:t>
        <w:br/>
        <w:t>POST /api/cart/items</w:t>
        <w:br/>
        <w:t>PATCH /api/cart/items/[id]</w:t>
        <w:br/>
        <w:t>DELETE /api/cart/items/[id]</w:t>
      </w:r>
    </w:p>
    <w:p>
      <w:r>
        <w:rPr>
          <w:b/>
        </w:rPr>
        <w:t xml:space="preserve">Checkout: </w:t>
      </w:r>
      <w:r>
        <w:t>POST /api/checkout/validate</w:t>
        <w:br/>
        <w:t>POST /api/checkout/create</w:t>
      </w:r>
    </w:p>
    <w:p>
      <w:r>
        <w:rPr>
          <w:b/>
        </w:rPr>
        <w:t xml:space="preserve">Payment: </w:t>
      </w:r>
      <w:r>
        <w:t>POST /api/payment/create</w:t>
        <w:br/>
        <w:t>POST /api/payment/verify</w:t>
        <w:br/>
        <w:t>POST /api/payment/webhook</w:t>
      </w:r>
    </w:p>
    <w:p>
      <w:r>
        <w:rPr>
          <w:b/>
        </w:rPr>
        <w:t xml:space="preserve">Orders: </w:t>
      </w:r>
      <w:r>
        <w:t>GET /api/orders</w:t>
        <w:br/>
        <w:t>GET /api/orders/[id]</w:t>
      </w:r>
    </w:p>
    <w:p>
      <w:pPr>
        <w:pStyle w:val="Heading1"/>
      </w:pPr>
      <w:r>
        <w:t>6. Shopping Cart Requirements</w:t>
      </w:r>
    </w:p>
    <w:p>
      <w:pPr>
        <w:pStyle w:val="ListBullet"/>
      </w:pPr>
      <w:r>
        <w:t>Add product and selected variant/pack.</w:t>
      </w:r>
    </w:p>
    <w:p>
      <w:pPr>
        <w:pStyle w:val="ListBullet"/>
      </w:pPr>
      <w:r>
        <w:t>Increase/decrease quantity.</w:t>
      </w:r>
    </w:p>
    <w:p>
      <w:pPr>
        <w:pStyle w:val="ListBullet"/>
      </w:pPr>
      <w:r>
        <w:t>Remove item and clear cart.</w:t>
      </w:r>
    </w:p>
    <w:p>
      <w:pPr>
        <w:pStyle w:val="ListBullet"/>
      </w:pPr>
      <w:r>
        <w:t>Display subtotal, GST, delivery, discount and payable total.</w:t>
      </w:r>
    </w:p>
    <w:p>
      <w:pPr>
        <w:pStyle w:val="ListBullet"/>
      </w:pPr>
      <w:r>
        <w:t>Guest cart persistence using a secure anonymous cart/session mechanism.</w:t>
      </w:r>
    </w:p>
    <w:p>
      <w:pPr>
        <w:pStyle w:val="ListBullet"/>
      </w:pPr>
      <w:r>
        <w:t>Authenticated cart persistence using the Supabase-authenticated user identity.</w:t>
      </w:r>
    </w:p>
    <w:p>
      <w:pPr>
        <w:pStyle w:val="ListBullet"/>
      </w:pPr>
      <w:r>
        <w:t>Deterministic guest-to-user cart merge after login; prevent duplicate variant rows.</w:t>
      </w:r>
    </w:p>
    <w:p>
      <w:pPr>
        <w:pStyle w:val="ListBullet"/>
      </w:pPr>
      <w:r>
        <w:t>Server revalidation of product availability, price, tax and inventory.</w:t>
      </w:r>
    </w:p>
    <w:p>
      <w:pPr>
        <w:pStyle w:val="Heading1"/>
      </w:pPr>
      <w:r>
        <w:t>7. Inventory Reservation</w:t>
      </w:r>
    </w:p>
    <w:p>
      <w:r>
        <w:t>Do not permanently decrement stock merely because a product is placed in the cart.</w:t>
      </w:r>
    </w:p>
    <w:p>
      <w:pPr>
        <w:pStyle w:val="ListBullet"/>
      </w:pPr>
      <w:r>
        <w:t>Reserve inventory during the controlled checkout/payment window.</w:t>
      </w:r>
    </w:p>
    <w:p>
      <w:pPr>
        <w:pStyle w:val="ListBullet"/>
      </w:pPr>
      <w:r>
        <w:t>Reservations contain reservation_id, cart/order context, variant_id, quantity, expires_at and status.</w:t>
      </w:r>
    </w:p>
    <w:p>
      <w:pPr>
        <w:pStyle w:val="ListBullet"/>
      </w:pPr>
      <w:r>
        <w:t>Release expired reservations through database/RPC/pg_cron or the established database-driven mechanism; never depend on browser setTimeout.</w:t>
      </w:r>
    </w:p>
    <w:p>
      <w:pPr>
        <w:pStyle w:val="ListBullet"/>
      </w:pPr>
      <w:r>
        <w:t>Protect against overselling under concurrent checkout.</w:t>
      </w:r>
    </w:p>
    <w:p>
      <w:pPr>
        <w:pStyle w:val="Heading1"/>
      </w:pPr>
      <w:r>
        <w:t>8. Checkout</w:t>
      </w:r>
    </w:p>
    <w:p>
      <w:pPr>
        <w:pStyle w:val="ListBullet"/>
      </w:pPr>
      <w:r>
        <w:t>Customer name, mobile and email.</w:t>
      </w:r>
    </w:p>
    <w:p>
      <w:pPr>
        <w:pStyle w:val="ListBullet"/>
      </w:pPr>
      <w:r>
        <w:t>Shipping address with state and pincode.</w:t>
      </w:r>
    </w:p>
    <w:p>
      <w:pPr>
        <w:pStyle w:val="ListBullet"/>
      </w:pPr>
      <w:r>
        <w:t>Billing address with Same-as-Shipping option.</w:t>
      </w:r>
    </w:p>
    <w:p>
      <w:pPr>
        <w:pStyle w:val="ListBullet"/>
      </w:pPr>
      <w:r>
        <w:t>Server-side pincode serviceability check using serviceable_pincodes.</w:t>
      </w:r>
    </w:p>
    <w:p>
      <w:pPr>
        <w:pStyle w:val="ListBullet"/>
      </w:pPr>
      <w:r>
        <w:t>Server-side recalculation of subtotal, discount, shipping, GST and final payable amount.</w:t>
      </w:r>
    </w:p>
    <w:p>
      <w:pPr>
        <w:pStyle w:val="ListBullet"/>
      </w:pPr>
      <w:r>
        <w:t>Checkout must fail safely if price, inventory or serviceability changed since cart creation.</w:t>
      </w:r>
    </w:p>
    <w:p>
      <w:pPr>
        <w:pStyle w:val="Heading1"/>
      </w:pPr>
      <w:r>
        <w:t>9. GST / HSN</w:t>
      </w:r>
    </w:p>
    <w:p>
      <w:pPr>
        <w:pStyle w:val="ListBullet"/>
      </w:pPr>
      <w:r>
        <w:t>Products/variants must support HSN/SAC and configured GST rate.</w:t>
      </w:r>
    </w:p>
    <w:p>
      <w:pPr>
        <w:pStyle w:val="ListBullet"/>
      </w:pPr>
      <w:r>
        <w:t>Server determines CGST+SGST versus IGST using the applicable seller/customer state rules.</w:t>
      </w:r>
    </w:p>
    <w:p>
      <w:pPr>
        <w:pStyle w:val="ListBullet"/>
      </w:pPr>
      <w:r>
        <w:t>Tax must not be hard-coded into frontend UI.</w:t>
      </w:r>
    </w:p>
    <w:p>
      <w:pPr>
        <w:pStyle w:val="ListBullet"/>
      </w:pPr>
      <w:r>
        <w:t>Final tax values must be stored with the order for historical accuracy.</w:t>
      </w:r>
    </w:p>
    <w:p>
      <w:pPr>
        <w:pStyle w:val="Heading1"/>
      </w:pPr>
      <w:r>
        <w:t>10. Razorpay Payment Gateway</w:t>
      </w:r>
    </w:p>
    <w:p>
      <w:r>
        <w:t>Enable Razorpay as the payment gateway. The payment architecture must support both current web checkout and future Android/iOS clients.</w:t>
      </w:r>
    </w:p>
    <w:p>
      <w:r>
        <w:t>Required flow:</w:t>
      </w:r>
    </w:p>
    <w:p>
      <w:pPr>
        <w:pStyle w:val="ListNumber"/>
      </w:pPr>
      <w:r>
        <w:t>Client requests checkout/payment creation.</w:t>
      </w:r>
    </w:p>
    <w:p>
      <w:pPr>
        <w:pStyle w:val="ListNumber"/>
      </w:pPr>
      <w:r>
        <w:t>Server validates cart, inventory, address/serviceability and authoritative totals.</w:t>
      </w:r>
    </w:p>
    <w:p>
      <w:pPr>
        <w:pStyle w:val="ListNumber"/>
      </w:pPr>
      <w:r>
        <w:t>Server creates internal payment intent/order context.</w:t>
      </w:r>
    </w:p>
    <w:p>
      <w:pPr>
        <w:pStyle w:val="ListNumber"/>
      </w:pPr>
      <w:r>
        <w:t>Server creates Razorpay Order and returns only required client-safe data.</w:t>
      </w:r>
    </w:p>
    <w:p>
      <w:pPr>
        <w:pStyle w:val="ListNumber"/>
      </w:pPr>
      <w:r>
        <w:t>Web/mobile client opens Razorpay checkout.</w:t>
      </w:r>
    </w:p>
    <w:p>
      <w:pPr>
        <w:pStyle w:val="ListNumber"/>
      </w:pPr>
      <w:r>
        <w:t>Server verifies payment response/signature as applicable.</w:t>
      </w:r>
    </w:p>
    <w:p>
      <w:pPr>
        <w:pStyle w:val="ListNumber"/>
      </w:pPr>
      <w:r>
        <w:t>Razorpay webhook is processed server-side.</w:t>
      </w:r>
    </w:p>
    <w:p>
      <w:pPr>
        <w:pStyle w:val="ListNumber"/>
      </w:pPr>
      <w:r>
        <w:t>Payment state is finalized idempotently.</w:t>
      </w:r>
    </w:p>
    <w:p>
      <w:pPr>
        <w:pStyle w:val="ListNumber"/>
      </w:pPr>
      <w:r>
        <w:t>Only then is the order moved into the appropriate paid/confirmed state.</w:t>
      </w:r>
    </w:p>
    <w:p>
      <w:r>
        <w:t>Secrets such as Razorpay secret and webhook secret must remain server-side. Never expose service-role or payment secrets through NEXT_PUBLIC_ variables.</w:t>
      </w:r>
    </w:p>
    <w:p>
      <w:pPr>
        <w:pStyle w:val="Heading1"/>
      </w:pPr>
      <w:r>
        <w:t>11. Payment Idempotency &amp; Failure Handling</w:t>
      </w:r>
    </w:p>
    <w:p>
      <w:pPr>
        <w:pStyle w:val="ListBullet"/>
      </w:pPr>
      <w:r>
        <w:t>Protect against double-click payment.</w:t>
      </w:r>
    </w:p>
    <w:p>
      <w:pPr>
        <w:pStyle w:val="ListBullet"/>
      </w:pPr>
      <w:r>
        <w:t>Protect against browser refresh and network retry.</w:t>
      </w:r>
    </w:p>
    <w:p>
      <w:pPr>
        <w:pStyle w:val="ListBullet"/>
      </w:pPr>
      <w:r>
        <w:t>Protect against mobile-app retry after network interruption.</w:t>
      </w:r>
    </w:p>
    <w:p>
      <w:pPr>
        <w:pStyle w:val="ListBullet"/>
      </w:pPr>
      <w:r>
        <w:t>Handle duplicate webhook delivery.</w:t>
      </w:r>
    </w:p>
    <w:p>
      <w:pPr>
        <w:pStyle w:val="ListBullet"/>
      </w:pPr>
      <w:r>
        <w:t>Use idempotency keys and unique gateway references/constraints where appropriate.</w:t>
      </w:r>
    </w:p>
    <w:p>
      <w:pPr>
        <w:pStyle w:val="ListBullet"/>
      </w:pPr>
      <w:r>
        <w:t>Support payment success, failure, cancellation and timeout without creating duplicate orders.</w:t>
      </w:r>
    </w:p>
    <w:p>
      <w:pPr>
        <w:pStyle w:val="Heading1"/>
      </w:pPr>
      <w:r>
        <w:t>12. Order Management</w:t>
      </w:r>
    </w:p>
    <w:p>
      <w:r>
        <w:t>Create a controlled order state machine. Suggested states:</w:t>
      </w:r>
    </w:p>
    <w:p>
      <w:r>
        <w:t>PENDING_PAYMENT → PAID → CONFIRMED → PROCESSING → SHIPPED → DELIVERED</w:t>
      </w:r>
    </w:p>
    <w:p>
      <w:r>
        <w:t>Failure/cancellation states may include PAYMENT_FAILED, CANCELLED and REFUNDED, subject to existing project conventions.</w:t>
      </w:r>
    </w:p>
    <w:p>
      <w:pPr>
        <w:pStyle w:val="ListBullet"/>
      </w:pPr>
      <w:r>
        <w:t>Customer can view order number, date, items, quantities, amount, payment status and order status.</w:t>
      </w:r>
    </w:p>
    <w:p>
      <w:pPr>
        <w:pStyle w:val="ListBullet"/>
      </w:pPr>
      <w:r>
        <w:t>Customer can view invoice when available.</w:t>
      </w:r>
    </w:p>
    <w:p>
      <w:pPr>
        <w:pStyle w:val="ListBullet"/>
      </w:pPr>
      <w:r>
        <w:t>Order status transitions must be server-controlled.</w:t>
      </w:r>
    </w:p>
    <w:p>
      <w:pPr>
        <w:pStyle w:val="ListBullet"/>
      </w:pPr>
      <w:r>
        <w:t>Customer must never be able to arbitrarily set payment/order status.</w:t>
      </w:r>
    </w:p>
    <w:p>
      <w:pPr>
        <w:pStyle w:val="Heading1"/>
      </w:pPr>
      <w:r>
        <w:t>13. Mobile App Readiness</w:t>
      </w:r>
    </w:p>
    <w:p>
      <w:r>
        <w:t>The future Android/iOS apps must use the same identity, database and commerce rules.</w:t>
      </w:r>
    </w:p>
    <w:p>
      <w:pPr>
        <w:pStyle w:val="ListBullet"/>
      </w:pPr>
      <w:r>
        <w:t>Use Supabase Auth user_id as the durable customer identity.</w:t>
      </w:r>
    </w:p>
    <w:p>
      <w:pPr>
        <w:pStyle w:val="ListBullet"/>
      </w:pPr>
      <w:r>
        <w:t>Web and mobile clients consume the same commerce APIs/server actions.</w:t>
      </w:r>
    </w:p>
    <w:p>
      <w:pPr>
        <w:pStyle w:val="ListBullet"/>
      </w:pPr>
      <w:r>
        <w:t>Do not put commerce calculations or payment verification exclusively in React/Flutter code.</w:t>
      </w:r>
    </w:p>
    <w:p>
      <w:pPr>
        <w:pStyle w:val="ListBullet"/>
      </w:pPr>
      <w:r>
        <w:t>API responses should be stable, explicit and versionable.</w:t>
      </w:r>
    </w:p>
    <w:p>
      <w:pPr>
        <w:pStyle w:val="ListBullet"/>
      </w:pPr>
      <w:r>
        <w:t>Design payment and retry flows for intermittent mobile networks.</w:t>
      </w:r>
    </w:p>
    <w:p>
      <w:pPr>
        <w:pStyle w:val="Heading1"/>
      </w:pPr>
      <w:r>
        <w:t>14. Security &amp; Data Protection</w:t>
      </w:r>
    </w:p>
    <w:p>
      <w:pPr>
        <w:pStyle w:val="ListBullet"/>
      </w:pPr>
      <w:r>
        <w:t>RLS must prevent one customer from reading or modifying another customer's cart/order/address/payment data.</w:t>
      </w:r>
    </w:p>
    <w:p>
      <w:pPr>
        <w:pStyle w:val="ListBullet"/>
      </w:pPr>
      <w:r>
        <w:t>Validate every input server-side.</w:t>
      </w:r>
    </w:p>
    <w:p>
      <w:pPr>
        <w:pStyle w:val="ListBullet"/>
      </w:pPr>
      <w:r>
        <w:t>Never trust client price, tax, discount, inventory or payment status.</w:t>
      </w:r>
    </w:p>
    <w:p>
      <w:pPr>
        <w:pStyle w:val="ListBullet"/>
      </w:pPr>
      <w:r>
        <w:t>Keep privileged Supabase service-role access server-only.</w:t>
      </w:r>
    </w:p>
    <w:p>
      <w:pPr>
        <w:pStyle w:val="ListBullet"/>
      </w:pPr>
      <w:r>
        <w:t>Use least-privilege access for public/client operations.</w:t>
      </w:r>
    </w:p>
    <w:p>
      <w:pPr>
        <w:pStyle w:val="ListBullet"/>
      </w:pPr>
      <w:r>
        <w:t>Do not log payment secrets or sensitive credentials.</w:t>
      </w:r>
    </w:p>
    <w:p>
      <w:pPr>
        <w:pStyle w:val="Heading1"/>
      </w:pPr>
      <w:r>
        <w:t>15. Testing &amp;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Area</w:t>
            </w:r>
          </w:p>
        </w:tc>
        <w:tc>
          <w:tcPr>
            <w:tcW w:type="dxa" w:w="5112"/>
          </w:tcPr>
          <w:p>
            <w:r>
              <w:t>Acceptance</w:t>
            </w:r>
          </w:p>
        </w:tc>
      </w:tr>
      <w:tr>
        <w:tc>
          <w:tcPr>
            <w:tcW w:type="dxa" w:w="5112"/>
          </w:tcPr>
          <w:p>
            <w:r>
              <w:t>Cart</w:t>
            </w:r>
          </w:p>
        </w:tc>
        <w:tc>
          <w:tcPr>
            <w:tcW w:type="dxa" w:w="5112"/>
          </w:tcPr>
          <w:p>
            <w:r>
              <w:t>Add/remove/update/clear, duplicate variant handling, guest persistence, login merge</w:t>
            </w:r>
          </w:p>
        </w:tc>
      </w:tr>
      <w:tr>
        <w:tc>
          <w:tcPr>
            <w:tcW w:type="dxa" w:w="5112"/>
          </w:tcPr>
          <w:p>
            <w:r>
              <w:t>Inventory</w:t>
            </w:r>
          </w:p>
        </w:tc>
        <w:tc>
          <w:tcPr>
            <w:tcW w:type="dxa" w:w="5112"/>
          </w:tcPr>
          <w:p>
            <w:r>
              <w:t>Insufficient stock, reservation, expiry/release, concurrent checkout</w:t>
            </w:r>
          </w:p>
        </w:tc>
      </w:tr>
      <w:tr>
        <w:tc>
          <w:tcPr>
            <w:tcW w:type="dxa" w:w="5112"/>
          </w:tcPr>
          <w:p>
            <w:r>
              <w:t>Checkout</w:t>
            </w:r>
          </w:p>
        </w:tc>
        <w:tc>
          <w:tcPr>
            <w:tcW w:type="dxa" w:w="5112"/>
          </w:tcPr>
          <w:p>
            <w:r>
              <w:t>Address validation, serviceability, GST, price change, inventory change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Success, failure, cancellation, timeout, duplicate request, webhook retry</w:t>
            </w:r>
          </w:p>
        </w:tc>
      </w:tr>
      <w:tr>
        <w:tc>
          <w:tcPr>
            <w:tcW w:type="dxa" w:w="5112"/>
          </w:tcPr>
          <w:p>
            <w:r>
              <w:t>Orders</w:t>
            </w:r>
          </w:p>
        </w:tc>
        <w:tc>
          <w:tcPr>
            <w:tcW w:type="dxa" w:w="5112"/>
          </w:tcPr>
          <w:p>
            <w:r>
              <w:t>Correct totals, tax, snapshots, payment state and customer visibility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Cross-user access blocked; client cannot manipulate price/tax/payment status</w:t>
            </w:r>
          </w:p>
        </w:tc>
      </w:tr>
      <w:tr>
        <w:tc>
          <w:tcPr>
            <w:tcW w:type="dxa" w:w="5112"/>
          </w:tcPr>
          <w:p>
            <w:r>
              <w:t>Mobile readiness</w:t>
            </w:r>
          </w:p>
        </w:tc>
        <w:tc>
          <w:tcPr>
            <w:tcW w:type="dxa" w:w="5112"/>
          </w:tcPr>
          <w:p>
            <w:r>
              <w:t>Same API/auth/database semantics; safe retry after network interruption</w:t>
            </w:r>
          </w:p>
        </w:tc>
      </w:tr>
      <w:tr>
        <w:tc>
          <w:tcPr>
            <w:tcW w:type="dxa" w:w="5112"/>
          </w:tcPr>
          <w:p>
            <w:r>
              <w:t>Regression</w:t>
            </w:r>
          </w:p>
        </w:tc>
        <w:tc>
          <w:tcPr>
            <w:tcW w:type="dxa" w:w="5112"/>
          </w:tcPr>
          <w:p>
            <w:r>
              <w:t>Existing 39-route production build and strict TypeScript check remain passing</w:t>
            </w:r>
          </w:p>
        </w:tc>
      </w:tr>
    </w:tbl>
    <w:p>
      <w:pPr>
        <w:pStyle w:val="Heading1"/>
      </w:pPr>
      <w:r>
        <w:t>16. Existing Project Constraints</w:t>
      </w:r>
    </w:p>
    <w:p>
      <w:pPr>
        <w:pStyle w:val="ListBullet"/>
      </w:pPr>
      <w:r>
        <w:t>Current project: E:\Daily Management Complete</w:t>
      </w:r>
    </w:p>
    <w:p>
      <w:pPr>
        <w:pStyle w:val="ListBullet"/>
      </w:pPr>
      <w:r>
        <w:t>Next.js 16.3.0, React 19, TailwindCSS 4, shadcn/ui, Lucide React.</w:t>
      </w:r>
    </w:p>
    <w:p>
      <w:pPr>
        <w:pStyle w:val="ListBullet"/>
      </w:pPr>
      <w:r>
        <w:t>Supabase via @supabase/ssr and @supabase/supabase-js.</w:t>
      </w:r>
    </w:p>
    <w:p>
      <w:pPr>
        <w:pStyle w:val="ListBullet"/>
      </w:pPr>
      <w:r>
        <w:t>NextAuth v5 beta is present; authentication architecture must be audited before commerce identity is finalized.</w:t>
      </w:r>
    </w:p>
    <w:p>
      <w:pPr>
        <w:pStyle w:val="ListBullet"/>
      </w:pPr>
      <w:r>
        <w:t>Current production build passes and strict TypeScript check passes.</w:t>
      </w:r>
    </w:p>
    <w:p>
      <w:pPr>
        <w:pStyle w:val="ListBullet"/>
      </w:pPr>
      <w:r>
        <w:t>Current lint report has 344 problems; lint cleanup is technical debt and should not trigger an unnecessary rewrite.</w:t>
      </w:r>
    </w:p>
    <w:p>
      <w:pPr>
        <w:pStyle w:val="ListBullet"/>
      </w:pPr>
      <w:r>
        <w:t>Existing VetKind PRD and Sprint 13 v4 remain controlling references; reuse existing implementation wherever sound.</w:t>
      </w:r>
    </w:p>
    <w:p>
      <w:pPr>
        <w:pStyle w:val="Heading1"/>
      </w:pPr>
      <w:r>
        <w:t>17. Implementation Governance</w:t>
      </w:r>
    </w:p>
    <w:p>
      <w:pPr>
        <w:pStyle w:val="ListNumber"/>
      </w:pPr>
      <w:r>
        <w:t>PLANNING MODE first: audit existing implementation and produce a file/database/API change plan.</w:t>
      </w:r>
    </w:p>
    <w:p>
      <w:pPr>
        <w:pStyle w:val="ListNumber"/>
      </w:pPr>
      <w:r>
        <w:t>No coding until human approval of the plan.</w:t>
      </w:r>
    </w:p>
    <w:p>
      <w:pPr>
        <w:pStyle w:val="ListNumber"/>
      </w:pPr>
      <w:r>
        <w:t>Every database change requires a timestamped Supabase migration.</w:t>
      </w:r>
    </w:p>
    <w:p>
      <w:pPr>
        <w:pStyle w:val="ListNumber"/>
      </w:pPr>
      <w:r>
        <w:t>Do not overwrite or duplicate existing product/catalogue structures without evidence.</w:t>
      </w:r>
    </w:p>
    <w:p>
      <w:pPr>
        <w:pStyle w:val="ListNumber"/>
      </w:pPr>
      <w:r>
        <w:t>After implementation, run verification and report exactly what changed.</w:t>
      </w:r>
    </w:p>
    <w:p>
      <w:pPr>
        <w:pStyle w:val="ListNumber"/>
      </w:pPr>
      <w:r>
        <w:t>Do not silently expand scope.</w:t>
      </w:r>
    </w:p>
    <w:p>
      <w:pPr>
        <w:pStyle w:val="ListNumber"/>
      </w:pPr>
      <w:r>
        <w:t>If a requirement conflicts with the existing PRD or Sprint 13 v4, stop and flag the conflict for approval.</w:t>
      </w:r>
    </w:p>
    <w:p>
      <w:pPr>
        <w:pStyle w:val="Heading1"/>
      </w:pPr>
      <w:r>
        <w:t>18. Definition of Done</w:t>
      </w:r>
    </w:p>
    <w:p>
      <w:pPr>
        <w:pStyle w:val="ListBullet"/>
      </w:pPr>
      <w:r>
        <w:t>Cart works for guest and authenticated users.</w:t>
      </w:r>
    </w:p>
    <w:p>
      <w:pPr>
        <w:pStyle w:val="ListBullet"/>
      </w:pPr>
      <w:r>
        <w:t>Guest cart merges safely after authentication.</w:t>
      </w:r>
    </w:p>
    <w:p>
      <w:pPr>
        <w:pStyle w:val="ListBullet"/>
      </w:pPr>
      <w:r>
        <w:t>Inventory reservation prevents overselling during checkout.</w:t>
      </w:r>
    </w:p>
    <w:p>
      <w:pPr>
        <w:pStyle w:val="ListBullet"/>
      </w:pPr>
      <w:r>
        <w:t>Checkout calculates authoritative totals and GST/HSN.</w:t>
      </w:r>
    </w:p>
    <w:p>
      <w:pPr>
        <w:pStyle w:val="ListBullet"/>
      </w:pPr>
      <w:r>
        <w:t>Pincode serviceability is enforced server-side.</w:t>
      </w:r>
    </w:p>
    <w:p>
      <w:pPr>
        <w:pStyle w:val="ListBullet"/>
      </w:pPr>
      <w:r>
        <w:t>Razorpay payment is enabled with secure server-side verification and webhook handling.</w:t>
      </w:r>
    </w:p>
    <w:p>
      <w:pPr>
        <w:pStyle w:val="ListBullet"/>
      </w:pPr>
      <w:r>
        <w:t>Payment and webhook processing is idempotent.</w:t>
      </w:r>
    </w:p>
    <w:p>
      <w:pPr>
        <w:pStyle w:val="ListBullet"/>
      </w:pPr>
      <w:r>
        <w:t>Confirmed orders contain historical item/price/tax snapshots.</w:t>
      </w:r>
    </w:p>
    <w:p>
      <w:pPr>
        <w:pStyle w:val="ListBullet"/>
      </w:pPr>
      <w:r>
        <w:t>Customer can view orders and payment/order status.</w:t>
      </w:r>
    </w:p>
    <w:p>
      <w:pPr>
        <w:pStyle w:val="ListBullet"/>
      </w:pPr>
      <w:r>
        <w:t>RLS and server/client boundaries are verified.</w:t>
      </w:r>
    </w:p>
    <w:p>
      <w:pPr>
        <w:pStyle w:val="ListBullet"/>
      </w:pPr>
      <w:r>
        <w:t>Commerce APIs are suitable for future Android/iOS clients.</w:t>
      </w:r>
    </w:p>
    <w:p>
      <w:pPr>
        <w:pStyle w:val="ListBullet"/>
      </w:pPr>
      <w:r>
        <w:t>Existing application build/typecheck regressions are absent.</w:t>
      </w:r>
    </w:p>
    <w:p>
      <w:pPr>
        <w:pStyle w:val="ListBullet"/>
      </w:pPr>
      <w:r>
        <w:t>E2E and security tests covering the acceptance matrix pass.</w:t>
      </w:r>
    </w:p>
    <w:p>
      <w:pPr>
        <w:pStyle w:val="Heading1"/>
      </w:pPr>
      <w:r>
        <w:t>19. First Instruction to Antigravity</w:t>
      </w:r>
    </w:p>
    <w:p>
      <w:r>
        <w:rPr>
          <w:b/>
        </w:rPr>
        <w:t xml:space="preserve">IMPORTANT — DO NOT IMPLEMENT YET. </w:t>
      </w:r>
      <w:r>
        <w:t>Start in PLANNING MODE. Audit E:\Daily Management Complete against this Sprint 14 specification, the existing VetKind PRD and Sprint 13 v4. Identify what already exists, what can be reused, exact migrations/API/routes/components required, and produce an implementation plan. Make NO code or database changes until the plan is approved.</w:t>
      </w:r>
    </w:p>
    <w:p/>
    <w:p>
      <w:r>
        <w:rPr>
          <w:b/>
        </w:rPr>
        <w:t>Document status: Implementation specification — approval required before coding.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