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24546">
      <w:pPr>
        <w:rPr>
          <w:rFonts w:hint="eastAsia"/>
        </w:rPr>
      </w:pPr>
      <w:r>
        <w:rPr>
          <w:rFonts w:hint="eastAsia"/>
        </w:rPr>
        <w:t>任务发布包完整生成流程说明</w:t>
      </w:r>
    </w:p>
    <w:p w14:paraId="4C521D4D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一</w:t>
      </w:r>
      <w:r>
        <w:rPr>
          <w:rFonts w:hint="eastAsia"/>
        </w:rPr>
        <w:t>、输入文件</w:t>
      </w:r>
      <w:r>
        <w:rPr>
          <w:rFonts w:hint="eastAsia"/>
          <w:lang w:val="en-US" w:eastAsia="zh-CN"/>
        </w:rPr>
        <w:t>说明</w:t>
      </w:r>
    </w:p>
    <w:p w14:paraId="5E96E4D3">
      <w:pPr>
        <w:rPr>
          <w:rFonts w:hint="eastAsia"/>
        </w:rPr>
      </w:pPr>
      <w:r>
        <w:rPr>
          <w:rFonts w:hint="eastAsia"/>
        </w:rPr>
        <w:t>1 datasource_info.xlsx</w:t>
      </w:r>
    </w:p>
    <w:p w14:paraId="2914C7FA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主要存储数栈对接的数据源信息，可通过数据源对接信息页面获取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每个数据源单独一个sheet页，可配置多个sheet。生成数据同步任务时会根据task_info中的数据源名称从中选取对应两个数据源信息组装成同步任务json脚本。</w:t>
      </w:r>
    </w:p>
    <w:p w14:paraId="3775B9F3">
      <w:pPr>
        <w:rPr>
          <w:rFonts w:hint="eastAsia"/>
        </w:rPr>
      </w:pPr>
      <w:r>
        <w:rPr>
          <w:rFonts w:hint="eastAsia"/>
        </w:rPr>
        <w:t>其中以下三个需要通过页面接口返回信息获取</w:t>
      </w:r>
    </w:p>
    <w:p w14:paraId="08043784">
      <w:pPr>
        <w:rPr>
          <w:rFonts w:hint="eastAsia"/>
        </w:rPr>
      </w:pPr>
      <w:r>
        <w:rPr>
          <w:rFonts w:hint="eastAsia"/>
        </w:rPr>
        <w:t>dtCenterSourceId：数据源中心编码</w:t>
      </w:r>
    </w:p>
    <w:p w14:paraId="62EB07F0">
      <w:pPr>
        <w:rPr>
          <w:rFonts w:hint="eastAsia"/>
        </w:rPr>
      </w:pPr>
      <w:r>
        <w:drawing>
          <wp:inline distT="0" distB="0" distL="114300" distR="114300">
            <wp:extent cx="5272405" cy="2853055"/>
            <wp:effectExtent l="9525" t="9525" r="1397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5305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0D255590">
      <w:pPr>
        <w:rPr>
          <w:rFonts w:hint="eastAsia"/>
        </w:rPr>
      </w:pPr>
      <w:r>
        <w:rPr>
          <w:rFonts w:hint="eastAsia"/>
        </w:rPr>
        <w:t>sourceIds：项目数据源编码</w:t>
      </w:r>
    </w:p>
    <w:p w14:paraId="44CEE821">
      <w:pPr>
        <w:rPr>
          <w:rFonts w:hint="eastAsia"/>
        </w:rPr>
      </w:pPr>
      <w:r>
        <w:rPr>
          <w:rFonts w:hint="eastAsia"/>
        </w:rPr>
        <w:t>dataSourceType：数据源类型编码</w:t>
      </w:r>
    </w:p>
    <w:p w14:paraId="555FC366">
      <w:pPr>
        <w:rPr>
          <w:rFonts w:hint="eastAsia"/>
        </w:rPr>
      </w:pPr>
      <w:r>
        <w:drawing>
          <wp:inline distT="0" distB="0" distL="114300" distR="114300">
            <wp:extent cx="5274310" cy="2877185"/>
            <wp:effectExtent l="9525" t="9525" r="12065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1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1D025D3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特殊类；hive数据源hadoopConfig配置，可以通过配置一个数据同步任务后，复制其脚本中hadoopConfig的值。</w:t>
      </w:r>
    </w:p>
    <w:p w14:paraId="50322D7E">
      <w:pPr>
        <w:rPr>
          <w:rFonts w:hint="eastAsia"/>
        </w:rPr>
      </w:pPr>
      <w:r>
        <w:rPr>
          <w:rFonts w:hint="eastAsia"/>
        </w:rPr>
        <w:t>2 public_info.xlsx</w:t>
      </w:r>
    </w:p>
    <w:p w14:paraId="18C2F52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主要存储公共信息：如租户、项目、任务目录、资源组信息。这些都为项目初始化过程中的信息，可通过任意新建一个数据同步任务然后查看脚本内容获取，同一个项目下租户、项目的信息相同。</w:t>
      </w:r>
    </w:p>
    <w:p w14:paraId="471359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任务目录：通过查看接口中id的值进行获取</w:t>
      </w:r>
    </w:p>
    <w:p w14:paraId="603BCF8A">
      <w:r>
        <w:drawing>
          <wp:inline distT="0" distB="0" distL="114300" distR="114300">
            <wp:extent cx="5266690" cy="2917190"/>
            <wp:effectExtent l="9525" t="9525" r="1206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171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39BC17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资源组：直接填充对应资源组名称即可</w:t>
      </w:r>
    </w:p>
    <w:p w14:paraId="05F2B10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659380"/>
            <wp:effectExtent l="9525" t="9525" r="14605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593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70711F46">
      <w:pPr>
        <w:rPr>
          <w:rFonts w:hint="eastAsia"/>
        </w:rPr>
      </w:pPr>
      <w:r>
        <w:rPr>
          <w:rFonts w:hint="eastAsia"/>
        </w:rPr>
        <w:t>3 task_info.xlsx</w:t>
      </w:r>
    </w:p>
    <w:p w14:paraId="5168E5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存储任务具体详情，主要分为两类：同步任务脚本和sql&amp;py脚本。每个任务单独一个sheet页，可存放多个sheet页，任务名称为sheet名称。</w:t>
      </w:r>
    </w:p>
    <w:p w14:paraId="6EDA50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同步任务信息需要严格按照标准规范进行填充，明确源与目标字段映射关系。需特别注意如果是Hive表则需要注意是否有分区字段。</w:t>
      </w:r>
    </w:p>
    <w:p w14:paraId="7E3293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Sql或py脚本则需填充脚本内容和环境参数即可，环境参数默认可以不填。</w:t>
      </w:r>
    </w:p>
    <w:p w14:paraId="2DA56A47">
      <w:pPr>
        <w:rPr>
          <w:rFonts w:hint="eastAsia"/>
        </w:rPr>
      </w:pPr>
      <w:r>
        <w:rPr>
          <w:rFonts w:hint="eastAsia"/>
        </w:rPr>
        <w:t>4 taskSchedule_info.xlsx</w:t>
      </w:r>
    </w:p>
    <w:p w14:paraId="7376B2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存放调度信息，这也是整个发布流程需要传入的入口文件。主要信息包括：任务名称、任务类型、调度依赖、调度频次。</w:t>
      </w:r>
    </w:p>
    <w:p w14:paraId="2AA1CA8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完整执行流程说明</w:t>
      </w:r>
    </w:p>
    <w:p w14:paraId="691499B5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初始化租户、项目、资源组、任务目录</w:t>
      </w:r>
    </w:p>
    <w:p w14:paraId="40D21D7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默认情况下是往新环境进行迁移，则需要新建租户、项目并绑定相应资源组，并提前建立好任务目录。则public_info就可以通过上述2的方式获取到。</w:t>
      </w:r>
    </w:p>
    <w:p w14:paraId="6E689BD7">
      <w:pPr>
        <w:numPr>
          <w:numId w:val="0"/>
        </w:numPr>
      </w:pPr>
      <w:r>
        <w:drawing>
          <wp:inline distT="0" distB="0" distL="114300" distR="114300">
            <wp:extent cx="5266690" cy="1728470"/>
            <wp:effectExtent l="9525" t="9525" r="12065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2847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615AD6E0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配置数据源信息，在数据源中心建立业务数据源并引入对应的项目下去。则dataSource_info就可以通过上述1方式获取。</w:t>
      </w:r>
    </w:p>
    <w:p w14:paraId="430FE18B">
      <w:pPr>
        <w:numPr>
          <w:numId w:val="0"/>
        </w:numPr>
      </w:pPr>
      <w:r>
        <w:drawing>
          <wp:inline distT="0" distB="0" distL="114300" distR="114300">
            <wp:extent cx="5266690" cy="2894965"/>
            <wp:effectExtent l="9525" t="9525" r="12065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496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11963A7E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task_info和dagSchedule_info则是提前根据旧平台提前梳理好的。</w:t>
      </w:r>
    </w:p>
    <w:p w14:paraId="653B4B20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将四个文件放入TransferData2的输入文件目录下，默认会从这里读取。</w:t>
      </w:r>
    </w:p>
    <w:p w14:paraId="04D315CD">
      <w:pPr>
        <w:numPr>
          <w:numId w:val="0"/>
        </w:numPr>
        <w:ind w:leftChars="0"/>
      </w:pPr>
      <w:r>
        <w:drawing>
          <wp:inline distT="0" distB="0" distL="114300" distR="114300">
            <wp:extent cx="5259070" cy="2115820"/>
            <wp:effectExtent l="9525" t="9525" r="12065" b="158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11582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354297CF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一键执行整个TransferData2</w:t>
      </w:r>
    </w:p>
    <w:p w14:paraId="3AC467DE">
      <w:pPr>
        <w:numPr>
          <w:numId w:val="0"/>
        </w:numPr>
        <w:ind w:leftChars="0"/>
      </w:pPr>
      <w:r>
        <w:drawing>
          <wp:inline distT="0" distB="0" distL="114300" distR="114300">
            <wp:extent cx="5260340" cy="2278380"/>
            <wp:effectExtent l="9525" t="9525" r="10795" b="133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2783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1F942787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压缩发布包，并进行发布</w:t>
      </w:r>
    </w:p>
    <w:p w14:paraId="5818188C">
      <w:pPr>
        <w:numPr>
          <w:numId w:val="0"/>
        </w:numPr>
        <w:ind w:leftChars="0"/>
      </w:pPr>
      <w:r>
        <w:drawing>
          <wp:inline distT="0" distB="0" distL="114300" distR="114300">
            <wp:extent cx="5267325" cy="2421890"/>
            <wp:effectExtent l="9525" t="9525" r="11430" b="146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18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5B41BC99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发布成功，查看发布内容</w:t>
      </w:r>
    </w:p>
    <w:p w14:paraId="538C33D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50180" cy="1075690"/>
            <wp:effectExtent l="9525" t="9525" r="13335" b="120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10756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69D5E7E2">
      <w:pPr>
        <w:numPr>
          <w:numId w:val="0"/>
        </w:numPr>
        <w:ind w:leftChars="0"/>
      </w:pPr>
      <w:r>
        <w:drawing>
          <wp:inline distT="0" distB="0" distL="114300" distR="114300">
            <wp:extent cx="5271135" cy="2249170"/>
            <wp:effectExtent l="9525" t="9525" r="15240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4917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1347EA35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8、执行流程图</w:t>
      </w:r>
      <w:bookmarkStart w:id="0" w:name="_GoBack"/>
      <w:bookmarkEnd w:id="0"/>
    </w:p>
    <w:p w14:paraId="4F898213">
      <w:pPr>
        <w:numPr>
          <w:numId w:val="0"/>
        </w:numPr>
      </w:pPr>
      <w:r>
        <w:drawing>
          <wp:inline distT="0" distB="0" distL="114300" distR="114300">
            <wp:extent cx="5268595" cy="7781290"/>
            <wp:effectExtent l="9525" t="9525" r="1016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7812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46B18165">
      <w:pPr>
        <w:numPr>
          <w:numId w:val="0"/>
        </w:numPr>
        <w:rPr>
          <w:rFonts w:hint="default"/>
          <w:lang w:val="en-US" w:eastAsia="zh-CN"/>
        </w:rPr>
      </w:pPr>
    </w:p>
    <w:p w14:paraId="1E315B15">
      <w:pPr>
        <w:rPr>
          <w:rFonts w:hint="default"/>
          <w:lang w:val="en-US" w:eastAsia="zh-CN"/>
        </w:rPr>
      </w:pPr>
    </w:p>
    <w:p w14:paraId="035E8D8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3D1F26"/>
    <w:multiLevelType w:val="singleLevel"/>
    <w:tmpl w:val="403D1F2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6A0C86C"/>
    <w:multiLevelType w:val="singleLevel"/>
    <w:tmpl w:val="56A0C86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1279AC"/>
    <w:rsid w:val="4B12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2026-05-24T02:21:00Z</dcterms:created>
  <dc:creator>远风</dc:creator>
  <cp:lastModifiedBy>远风</cp:lastModifiedBy>
  <dcterms:modified xsi:type="dcterms:W3CDTF">2026-05-24T04:46:54Z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B0A1B60A759C4E55A48ADC37FCC63D52_11</vt:lpwstr>
  </property>
  <property fmtid="{D5CDD505-2E9C-101B-9397-08002B2CF9AE}" pid="4" name="KSOTemplateDocerSaveRecord">
    <vt:lpwstr>eyJoZGlkIjoiMTA2NzJlYTU3MTE1NThiMDQ2ZWUwMmE4NTMzYTZiYzUiLCJ1c2VySWQiOiI3MDM0Njk2NzEifQ==</vt:lpwstr>
  </property>
</Properties>
</file>