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45"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1"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of them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one(#origin).In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These information give insights about different segments of gender, age and so on to organize planning decisions for them according to their requirements.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w:t>
      </w:r>
      <w:r>
        <w:t xml:space="preserve"> </w:t>
      </w:r>
      <w:hyperlink w:anchor="tbl-Health-Information-Descriptives">
        <w:r>
          <w:rPr>
            <w:rStyle w:val="Hyperlink"/>
          </w:rPr>
          <w:t xml:space="preserve">Table 4</w:t>
        </w:r>
      </w:hyperlink>
      <w:r>
        <w:t xml:space="preserve">)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bookmarkStart w:id="28" w:name="tbl-Health-Information-Descriptives"/>
    <w:bookmarkStart w:id="27" w:name="tbl-Health-Informa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tbl>
      <w:tblPr>
        <w:tblStyle w:val="Table"/>
        <w:tblW w:type="pct" w:w="5000"/>
        <w:tblLook w:firstRow="1" w:lastRow="0" w:firstColumn="0" w:lastColumn="0" w:noHBand="0" w:noVBand="0" w:val="0020"/>
      </w:tblPr>
      <w:tblGrid>
        <w:gridCol w:w="1365"/>
        <w:gridCol w:w="910"/>
        <w:gridCol w:w="1274"/>
        <w:gridCol w:w="728"/>
        <w:gridCol w:w="819"/>
        <w:gridCol w:w="282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r1B_EFFORT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SLI: 0, NEU: 0, MOS: 0</w:t>
            </w:r>
          </w:p>
        </w:tc>
      </w:tr>
      <w:tr>
        <w:tc>
          <w:tcPr/>
          <w:p>
            <w:pPr>
              <w:pStyle w:val="Compact"/>
              <w:jc w:val="left"/>
            </w:pPr>
            <w:r>
              <w:t xml:space="preserve">r1C_PROXIMITY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POO: 0, FAI: 0, GOO: 0, VER: 0</w:t>
            </w:r>
          </w:p>
        </w:tc>
      </w:tr>
      <w:tr>
        <w:tc>
          <w:tcPr/>
          <w:p>
            <w:pPr>
              <w:pStyle w:val="Compact"/>
              <w:jc w:val="left"/>
            </w:pPr>
            <w:r>
              <w:t xml:space="preserve">r1D_CONTAM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r1GA_STRESS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bl>
    <w:p>
      <w:pPr>
        <w:pStyle w:val="BodyText"/>
      </w:pPr>
      <w:r>
        <w:t xml:space="preserve">Table 4: Variables regarding health information of respondents</w:t>
      </w:r>
    </w:p>
    <w:bookmarkEnd w:id="28"/>
    <w:p>
      <w:pPr>
        <w:pStyle w:val="BodyText"/>
      </w:pPr>
      <w:r>
        <w:t xml:space="preserve">First part of the data set of feelings and emotions (see</w:t>
      </w:r>
      <w:r>
        <w:t xml:space="preserve"> </w:t>
      </w:r>
      <w:hyperlink w:anchor="tbl-Feelings-Emotions-Descriptives">
        <w:r>
          <w:rPr>
            <w:rStyle w:val="Hyperlink"/>
          </w:rPr>
          <w:t xml:space="preserve">Table 5</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pf them uses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30" w:name="tbl-Feelings-Emotions-Descriptives"/>
    <w:bookmarkStart w:id="29"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9"/>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r2C_IMP_QUALITY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LAC: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Table 5: Variables regarding feelings and emotions of respondents</w:t>
      </w:r>
    </w:p>
    <w:bookmarkEnd w:id="30"/>
    <w:p>
      <w:pPr>
        <w:pStyle w:val="BodyText"/>
      </w:pPr>
      <w:r>
        <w:t xml:space="preserve">Table of decision-making and planning of respondents (see</w:t>
      </w:r>
      <w:r>
        <w:t xml:space="preserve"> </w:t>
      </w:r>
      <w:hyperlink w:anchor="X11a33f6ea4fb4ee37baff737c8ad81bc4a31c76">
        <w:r>
          <w:rPr>
            <w:rStyle w:val="Hyperlink"/>
          </w:rPr>
          <w:t xml:space="preserve">Table 6</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bookmarkStart w:id="32" w:name="X11a33f6ea4fb4ee37baff737c8ad81bc4a31c76"/>
    <w:bookmarkStart w:id="31"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1"/>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184, BEL: 128, AVE: 100, ABO: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BEL: 97, AVE: 54, ABO: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IMP: 82, MOD: 51, SLI: 16</w:t>
            </w:r>
          </w:p>
        </w:tc>
      </w:tr>
    </w:tbl>
    <w:p>
      <w:pPr>
        <w:pStyle w:val="BodyText"/>
      </w:pPr>
      <w:r>
        <w:t xml:space="preserve">Table 6: Variables regarding decision-making and planning of respondents</w:t>
      </w:r>
    </w:p>
    <w:bookmarkEnd w:id="32"/>
    <w:p>
      <w:pPr>
        <w:pStyle w:val="BodyText"/>
      </w:pPr>
      <w:r>
        <w:t xml:space="preserve">Table of social interaction (see</w:t>
      </w:r>
      <w:r>
        <w:t xml:space="preserve"> </w:t>
      </w:r>
      <w:hyperlink w:anchor="tbl-Social-Interaction-Descriptives">
        <w:r>
          <w:rPr>
            <w:rStyle w:val="Hyperlink"/>
          </w:rPr>
          <w:t xml:space="preserve">Table 7</w:t>
        </w:r>
      </w:hyperlink>
      <w:r>
        <w:t xml:space="preserve">) disclose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bookmarkStart w:id="34" w:name="tbl-Social-Interaction-Descriptives"/>
    <w:bookmarkStart w:id="33"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3"/>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BodyText"/>
      </w:pPr>
      <w:r>
        <w:t xml:space="preserve">Table 7: Variables regarding social interactions of respondents</w:t>
      </w:r>
    </w:p>
    <w:bookmarkEnd w:id="34"/>
    <w:p>
      <w:pPr>
        <w:pStyle w:val="BodyText"/>
      </w:pPr>
      <w:r>
        <w:t xml:space="preserve">It can be seen there are different variables in nature and sustainability table (see</w:t>
      </w:r>
      <w:r>
        <w:t xml:space="preserve"> </w:t>
      </w:r>
      <w:hyperlink w:anchor="tbl-Social-Interaction-Descriptives">
        <w:r>
          <w:rPr>
            <w:rStyle w:val="Hyperlink"/>
          </w:rPr>
          <w:t xml:space="preserve">Table 7</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imoprtance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102, MOD: 48, SLI: 22</w:t>
            </w:r>
          </w:p>
        </w:tc>
      </w:tr>
    </w:tbl>
    <w:p>
      <w:pPr>
        <w:pStyle w:val="BodyText"/>
      </w:pPr>
      <w:r>
        <w:t xml:space="preserve">Variables regarding perspectives about nature and sustainability of respondents</w:t>
      </w:r>
    </w:p>
    <w:p>
      <w:pPr>
        <w:pStyle w:val="BodyText"/>
      </w:pPr>
      <w:r>
        <w:t xml:space="preserve">The information, telecommunications and mode shifting of respondents (see</w:t>
      </w:r>
      <w:r>
        <w:t xml:space="preserve"> </w:t>
      </w:r>
      <w:hyperlink w:anchor="tbl-ITC-Shifting-Descriptives">
        <w:r>
          <w:rPr>
            <w:rStyle w:val="Hyperlink"/>
          </w:rPr>
          <w:t xml:space="preserve">Table 8</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bookmarkStart w:id="36" w:name="tbl-ITC-Shifting-Descriptives"/>
    <w:bookmarkStart w:id="35"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5"/>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Shi: 89, Shi: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198, IMP: 122, MOD: 68, SLI: 33</w:t>
            </w:r>
          </w:p>
        </w:tc>
      </w:tr>
    </w:tbl>
    <w:p>
      <w:pPr>
        <w:pStyle w:val="BodyText"/>
      </w:pPr>
      <w:r>
        <w:t xml:space="preserve">Table 8: Variables regarding information and telecommunications and mode shifting of respondents</w:t>
      </w:r>
    </w:p>
    <w:bookmarkEnd w:id="36"/>
    <w:p>
      <w:pPr>
        <w:pStyle w:val="BodyText"/>
      </w:pPr>
      <w:r>
        <w:t xml:space="preserve">Built environment data set (see</w:t>
      </w:r>
      <w:r>
        <w:t xml:space="preserve"> </w:t>
      </w:r>
      <w:hyperlink w:anchor="tbl-Built-Environment-Descriptives">
        <w:r>
          <w:rPr>
            <w:rStyle w:val="Hyperlink"/>
          </w:rPr>
          <w:t xml:space="preserve">Table 9</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38" w:name="tbl-Built-Environment-Descriptives"/>
    <w:bookmarkStart w:id="37"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7"/>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p>
      <w:pPr>
        <w:pStyle w:val="BodyText"/>
      </w:pPr>
      <w:r>
        <w:t xml:space="preserve">Table 9: Variables regarding the built environment at the place of residence of respondents</w:t>
      </w:r>
    </w:p>
    <w:bookmarkEnd w:id="38"/>
    <w:p>
      <w:pPr>
        <w:pStyle w:val="BodyText"/>
      </w:pPr>
      <w:r>
        <w:t xml:space="preserve">The data set of commuting behavior of respondents(see</w:t>
      </w:r>
      <w:r>
        <w:t xml:space="preserve"> </w:t>
      </w:r>
      <w:hyperlink w:anchor="tbl-Travel-work-Descriptives">
        <w:r>
          <w:rPr>
            <w:rStyle w:val="Hyperlink"/>
          </w:rPr>
          <w:t xml:space="preserve">Table 10</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bookmarkStart w:id="40" w:name="tbl-Travel-work-Descriptives"/>
    <w:bookmarkStart w:id="39"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9"/>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35.: 199, Les: 166, 75.: 46, Mor: 33</w:t>
            </w:r>
          </w:p>
        </w:tc>
      </w:tr>
    </w:tbl>
    <w:p>
      <w:pPr>
        <w:pStyle w:val="BodyText"/>
      </w:pPr>
      <w:r>
        <w:t xml:space="preserve">Table 10: Variables regarding the commuting behavior of respondents</w:t>
      </w:r>
    </w:p>
    <w:bookmarkEnd w:id="40"/>
    <w:bookmarkEnd w:id="41"/>
    <w:bookmarkStart w:id="42"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2"/>
    <w:bookmarkStart w:id="43" w:name="acknowledgements"/>
    <w:p>
      <w:pPr>
        <w:pStyle w:val="Heading2"/>
      </w:pPr>
      <w:r>
        <w:t xml:space="preserve">Acknowledgements</w:t>
      </w:r>
    </w:p>
    <w:bookmarkEnd w:id="43"/>
    <w:bookmarkStart w:id="44" w:name="references"/>
    <w:p>
      <w:pPr>
        <w:pStyle w:val="Heading2"/>
      </w:pPr>
      <w:r>
        <w:t xml:space="preserve">References</w:t>
      </w:r>
    </w:p>
    <w:bookmarkEnd w:id="44"/>
    <w:bookmarkEnd w:id="45"/>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2022-09-21T13:12:08Z</dcterms:created>
  <dcterms:modified xsi:type="dcterms:W3CDTF">2022-09-21T13:12:08Z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