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b/>
          <w:bCs/>
          <w:color w:val="1B3A5C"/>
          <w:sz w:val="72"/>
          <w:szCs w:val="72"/>
        </w:rPr>
        <w:t xml:space="preserve">PR #4</w:t>
      </w:r>
    </w:p>
    <w:p>
      <w:pPr>
        <w:spacing w:after="200"/>
        <w:jc w:val="center"/>
      </w:pPr>
      <w:r>
        <w:rPr>
          <w:color w:val="2E6DA4"/>
          <w:sz w:val="48"/>
          <w:szCs w:val="48"/>
        </w:rPr>
        <w:t xml:space="preserve">End-to-End Tool Execution Platform</w:t>
      </w:r>
    </w:p>
    <w:p>
      <w:pPr>
        <w:pBdr>
          <w:bottom w:val="single" w:color="1B3A5C" w:sz="6" w:space="1"/>
        </w:pBdr>
        <w:spacing w:after="400"/>
        <w:jc w:val="center"/>
      </w:pPr>
    </w:p>
    <w:p>
      <w:pPr>
        <w:spacing w:after="100"/>
        <w:jc w:val="center"/>
      </w:pPr>
      <w:r>
        <w:rPr>
          <w:i/>
          <w:iCs/>
          <w:color w:val="555555"/>
          <w:sz w:val="32"/>
          <w:szCs w:val="32"/>
        </w:rPr>
        <w:t xml:space="preserve">Comprehensive Analysis</w:t>
      </w:r>
    </w:p>
    <w:p>
      <w:pPr>
        <w:spacing w:after="100"/>
        <w:jc w:val="center"/>
      </w:pPr>
      <w:r>
        <w:rPr>
          <w:color w:val="666666"/>
          <w:sz w:val="28"/>
          <w:szCs w:val="28"/>
        </w:rPr>
        <w:t xml:space="preserve">Implemented Tools: Code / MCP / HTTP</w:t>
      </w:r>
    </w:p>
    <w:p>
      <w:pPr>
        <w:spacing w:before="600"/>
        <w:jc w:val="center"/>
      </w:pPr>
      <w:r>
        <w:rPr>
          <w:color w:val="888888"/>
          <w:sz w:val="22"/>
          <w:szCs w:val="22"/>
        </w:rPr>
        <w:t xml:space="preserve">Features • Integration Flow • Gap Analysis • Prioritization</w:t>
      </w:r>
    </w:p>
    <w:p>
      <w:pPr>
        <w:sectPr>
          <w:pgSz w:w="12240" w:h="15840" w:orient="portrait"/>
          <w:pgMar w:top="1440" w:right="1440" w:bottom="1440" w:left="1440" w:header="708" w:footer="708" w:gutter="0"/>
          <w:pgNumType/>
          <w:docGrid w:linePitch="360"/>
        </w:sectPr>
      </w:pPr>
    </w:p>
    <w:p>
      <w:pPr>
        <w:pStyle w:val="Heading1"/>
      </w:pPr>
      <w:r>
        <w:t xml:space="preserve">Part 1: New Features &amp; Capabilities</w:t>
      </w:r>
    </w:p>
    <w:p>
      <w:pPr>
        <w:pStyle w:val="Heading2"/>
      </w:pPr>
      <w:r>
        <w:t xml:space="preserve">A. Tool Management System (Studio)</w:t>
      </w:r>
    </w:p>
    <w:p>
      <w:pPr>
        <w:spacing w:after="120"/>
      </w:pPr>
      <w:r>
        <w:t xml:space="preserve">The Studio layer introduces a comprehensive tool management system with full CRUD operations for project-scoped tools, supporting the complete lifecycle from creation through versioning to archival.</w:t>
      </w:r>
    </w:p>
    <w:p>
      <w:pPr>
        <w:pStyle w:val="Heading3"/>
      </w:pPr>
      <w:r>
        <w:t xml:space="preserve">Multi-Type Tool Management</w:t>
      </w:r>
    </w:p>
    <w:p>
      <w:pPr>
        <w:pStyle w:val="ListParagraph"/>
        <w:numPr>
          <w:ilvl w:val="0"/>
          <w:numId w:val="2"/>
        </w:numPr>
        <w:spacing w:after="60"/>
      </w:pPr>
      <w:r>
        <w:t xml:space="preserve">Full CRUD UI for three tool types: HTTP (REST APIs), Code (Sandbox), and MCP (Model Context Protocol servers)</w:t>
      </w:r>
    </w:p>
    <w:p>
      <w:pPr>
        <w:pStyle w:val="ListParagraph"/>
        <w:numPr>
          <w:ilvl w:val="0"/>
          <w:numId w:val="2"/>
        </w:numPr>
        <w:spacing w:after="60"/>
      </w:pPr>
      <w:r>
        <w:t xml:space="preserve">Type-specific creation wizards with configuration forms: endpoint/method/auth for HTTP, runtime/code editor for Sandbox, server URL/transport for MCP</w:t>
      </w:r>
    </w:p>
    <w:p>
      <w:pPr>
        <w:pStyle w:val="ListParagraph"/>
        <w:numPr>
          <w:ilvl w:val="0"/>
          <w:numId w:val="2"/>
        </w:numPr>
        <w:spacing w:after="60"/>
      </w:pPr>
      <w:r>
        <w:t xml:space="preserve">Tool versioning lifecycle: Draft → Versioned (immutable snapshots) → Archived (terminal state)</w:t>
      </w:r>
    </w:p>
    <w:p>
      <w:pPr>
        <w:pStyle w:val="ListParagraph"/>
        <w:numPr>
          <w:ilvl w:val="0"/>
          <w:numId w:val="2"/>
        </w:numPr>
        <w:spacing w:after="60"/>
      </w:pPr>
      <w:r>
        <w:t xml:space="preserve">Tool testing UI with auto-generated input forms from JSON Schema</w:t>
      </w:r>
    </w:p>
    <w:p>
      <w:pPr>
        <w:pStyle w:val="ListParagraph"/>
        <w:numPr>
          <w:ilvl w:val="0"/>
          <w:numId w:val="2"/>
        </w:numPr>
        <w:spacing w:after="60"/>
      </w:pPr>
      <w:r>
        <w:t xml:space="preserve">cURL import for rapid HTTP tool creation</w:t>
      </w:r>
    </w:p>
    <w:p>
      <w:pPr>
        <w:pStyle w:val="ListParagraph"/>
        <w:numPr>
          <w:ilvl w:val="0"/>
          <w:numId w:val="2"/>
        </w:numPr>
        <w:spacing w:after="60"/>
      </w:pPr>
      <w:r>
        <w:t xml:space="preserve">Tool duplication, search, and filtering by type</w:t>
      </w:r>
    </w:p>
    <w:p>
      <w:pPr>
        <w:pStyle w:val="Heading3"/>
      </w:pPr>
      <w:r>
        <w:t xml:space="preserve">Tool Versioning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E3F2FD" w:val="clear"/>
            <w:tcMar>
              <w:top w:type="dxa" w:w="80"/>
              <w:left w:type="dxa" w:w="120"/>
              <w:bottom w:type="dxa" w:w="80"/>
              <w:right w:type="dxa" w:w="120"/>
            </w:tcMar>
          </w:tcPr>
          <w:p>
            <w:pPr>
              <w:jc w:val="center"/>
            </w:pPr>
            <w:r>
              <w:rPr>
                <w:b/>
                <w:bCs/>
                <w:color w:val="1565C0"/>
                <w:sz w:val="22"/>
                <w:szCs w:val="22"/>
              </w:rPr>
              <w:t xml:space="preserve">DRAFT</w:t>
            </w:r>
          </w:p>
          <w:p>
            <w:pPr>
              <w:spacing w:before="40"/>
              <w:jc w:val="center"/>
            </w:pPr>
            <w:r>
              <w:rPr>
                <w:color w:val="666666"/>
                <w:sz w:val="18"/>
                <w:szCs w:val="18"/>
              </w:rPr>
              <w:t xml:space="preserve">Editable, testable</w:t>
            </w:r>
          </w:p>
        </w:tc>
        <w:tc>
          <w:tcPr>
            <w:tcW w:type="dxa" w:w="3120"/>
            <w:tcBorders>
              <w:top w:val="none" w:color="FFFFFF" w:sz="0"/>
              <w:left w:val="none" w:color="FFFFFF" w:sz="0"/>
              <w:bottom w:val="none" w:color="FFFFFF" w:sz="0"/>
              <w:right w:val="none" w:color="FFFFFF" w:sz="0"/>
            </w:tcBorders>
            <w:shd w:fill="E8F5E9" w:val="clear"/>
            <w:tcMar>
              <w:top w:type="dxa" w:w="80"/>
              <w:left w:type="dxa" w:w="120"/>
              <w:bottom w:type="dxa" w:w="80"/>
              <w:right w:type="dxa" w:w="120"/>
            </w:tcMar>
          </w:tcPr>
          <w:p>
            <w:pPr>
              <w:jc w:val="center"/>
            </w:pPr>
            <w:r>
              <w:rPr>
                <w:b/>
                <w:bCs/>
                <w:color w:val="2E7D32"/>
                <w:sz w:val="22"/>
                <w:szCs w:val="22"/>
              </w:rPr>
              <w:t xml:space="preserve">→  VERSIONED</w:t>
            </w:r>
          </w:p>
          <w:p>
            <w:pPr>
              <w:spacing w:before="40"/>
              <w:jc w:val="center"/>
            </w:pPr>
            <w:r>
              <w:rPr>
                <w:color w:val="666666"/>
                <w:sz w:val="18"/>
                <w:szCs w:val="18"/>
              </w:rPr>
              <w:t xml:space="preserve">Immutable snapshots</w:t>
            </w:r>
          </w:p>
        </w:tc>
        <w:tc>
          <w:tcPr>
            <w:tcW w:type="dxa" w:w="3120"/>
            <w:tcBorders>
              <w:top w:val="none" w:color="FFFFFF" w:sz="0"/>
              <w:left w:val="none" w:color="FFFFFF" w:sz="0"/>
              <w:bottom w:val="none" w:color="FFFFFF" w:sz="0"/>
              <w:right w:val="none" w:color="FFFFFF" w:sz="0"/>
            </w:tcBorders>
            <w:shd w:fill="FFF3E0" w:val="clear"/>
            <w:tcMar>
              <w:top w:type="dxa" w:w="80"/>
              <w:left w:type="dxa" w:w="120"/>
              <w:bottom w:type="dxa" w:w="80"/>
              <w:right w:type="dxa" w:w="120"/>
            </w:tcMar>
          </w:tcPr>
          <w:p>
            <w:pPr>
              <w:jc w:val="center"/>
            </w:pPr>
            <w:r>
              <w:rPr>
                <w:b/>
                <w:bCs/>
                <w:color w:val="E65100"/>
                <w:sz w:val="22"/>
                <w:szCs w:val="22"/>
              </w:rPr>
              <w:t xml:space="preserve">→  ARCHIVED</w:t>
            </w:r>
          </w:p>
          <w:p>
            <w:pPr>
              <w:spacing w:before="40"/>
              <w:jc w:val="center"/>
            </w:pPr>
            <w:r>
              <w:rPr>
                <w:color w:val="666666"/>
                <w:sz w:val="18"/>
                <w:szCs w:val="18"/>
              </w:rPr>
              <w:t xml:space="preserve">Terminal state</w:t>
            </w:r>
          </w:p>
        </w:tc>
      </w:tr>
    </w:tbl>
    <w:p>
      <w:pPr>
        <w:spacing w:after="120"/>
      </w:pPr>
      <w:r>
        <w:t xml:space="preserve"/>
      </w:r>
    </w:p>
    <w:p>
      <w:pPr>
        <w:pStyle w:val="Heading2"/>
      </w:pPr>
      <w:r>
        <w:t xml:space="preserve">B. MCP Server Integration (Studio + Runtime)</w:t>
      </w:r>
    </w:p>
    <w:p>
      <w:pPr>
        <w:spacing w:after="120"/>
      </w:pPr>
      <w:r>
        <w:t xml:space="preserve">Full integration with the Model Context Protocol for connecting to external tool servers, with capabilities spanning both Studio and Runtime layers.</w:t>
      </w:r>
    </w:p>
    <w:p>
      <w:pPr>
        <w:pStyle w:val="ListParagraph"/>
        <w:numPr>
          <w:ilvl w:val="0"/>
          <w:numId w:val="2"/>
        </w:numPr>
        <w:spacing w:after="60"/>
      </w:pPr>
      <w:r>
        <w:rPr>
          <w:b/>
          <w:bCs/>
        </w:rPr>
        <w:t xml:space="preserve">MCP Server Registry: </w:t>
      </w:r>
      <w:r>
        <w:t xml:space="preserve">Register and manage MCP server connections per project with encrypted credentials</w:t>
      </w:r>
    </w:p>
    <w:p>
      <w:pPr>
        <w:pStyle w:val="ListParagraph"/>
        <w:numPr>
          <w:ilvl w:val="0"/>
          <w:numId w:val="2"/>
        </w:numPr>
        <w:spacing w:after="60"/>
      </w:pPr>
      <w:r>
        <w:rPr>
          <w:b/>
          <w:bCs/>
        </w:rPr>
        <w:t xml:space="preserve">Tool Discovery: </w:t>
      </w:r>
      <w:r>
        <w:t xml:space="preserve">Connect to MCP server, browse available tools, and selectively import into project</w:t>
      </w:r>
    </w:p>
    <w:p>
      <w:pPr>
        <w:pStyle w:val="ListParagraph"/>
        <w:numPr>
          <w:ilvl w:val="0"/>
          <w:numId w:val="2"/>
        </w:numPr>
        <w:spacing w:after="60"/>
      </w:pPr>
      <w:r>
        <w:rPr>
          <w:b/>
          <w:bCs/>
        </w:rPr>
        <w:t xml:space="preserve">Schema Drift Detection: </w:t>
      </w:r>
      <w:r>
        <w:t xml:space="preserve">Detect when server tools change after initial import</w:t>
      </w:r>
    </w:p>
    <w:p>
      <w:pPr>
        <w:pStyle w:val="ListParagraph"/>
        <w:numPr>
          <w:ilvl w:val="0"/>
          <w:numId w:val="2"/>
        </w:numPr>
        <w:spacing w:after="60"/>
      </w:pPr>
      <w:r>
        <w:rPr>
          <w:b/>
          <w:bCs/>
        </w:rPr>
        <w:t xml:space="preserve">Transport Support: </w:t>
      </w:r>
      <w:r>
        <w:t xml:space="preserve">SSE and Streamable HTTP transports supported</w:t>
      </w:r>
    </w:p>
    <w:p>
      <w:pPr>
        <w:pStyle w:val="ListParagraph"/>
        <w:numPr>
          <w:ilvl w:val="0"/>
          <w:numId w:val="2"/>
        </w:numPr>
        <w:spacing w:after="60"/>
      </w:pPr>
      <w:r>
        <w:rPr>
          <w:b/>
          <w:bCs/>
        </w:rPr>
        <w:t xml:space="preserve">Test Connectivity: </w:t>
      </w:r>
      <w:r>
        <w:t xml:space="preserve">Test connection and test individual MCP tools before deployment</w:t>
      </w:r>
    </w:p>
    <w:p>
      <w:pPr>
        <w:pStyle w:val="ListParagraph"/>
        <w:numPr>
          <w:ilvl w:val="0"/>
          <w:numId w:val="2"/>
        </w:numPr>
        <w:spacing w:after="60"/>
      </w:pPr>
      <w:r>
        <w:rPr>
          <w:b/>
          <w:bCs/>
        </w:rPr>
        <w:t xml:space="preserve">Cascade Delete: </w:t>
      </w:r>
      <w:r>
        <w:t xml:space="preserve">Removing a server automatically removes all discovered/imported tools</w:t>
      </w:r>
    </w:p>
    <w:p>
      <w:pPr>
        <w:pStyle w:val="ListParagraph"/>
        <w:numPr>
          <w:ilvl w:val="0"/>
          <w:numId w:val="2"/>
        </w:numPr>
        <w:spacing w:after="60"/>
      </w:pPr>
      <w:r>
        <w:rPr>
          <w:b/>
          <w:bCs/>
        </w:rPr>
        <w:t xml:space="preserve">RuntimeMcpClientProvider: </w:t>
      </w:r>
      <w:r>
        <w:t xml:space="preserve">Project-scoped MCP client loading with 5-min TTL cache, 20 servers/project cap</w:t>
      </w:r>
    </w:p>
    <w:p>
      <w:pPr>
        <w:pStyle w:val="ListParagraph"/>
        <w:numPr>
          <w:ilvl w:val="0"/>
          <w:numId w:val="2"/>
        </w:numPr>
        <w:spacing w:after="60"/>
      </w:pPr>
      <w:r>
        <w:rPr>
          <w:b/>
          <w:bCs/>
        </w:rPr>
        <w:t xml:space="preserve">MCPServerRegistryService (Runtime): </w:t>
      </w:r>
      <w:r>
        <w:t xml:space="preserve">Loads, decrypts, SSRF-validates MCP configs from DB with bounded LRU cache</w:t>
      </w:r>
    </w:p>
    <w:p>
      <w:pPr>
        <w:pStyle w:val="Heading2"/>
      </w:pPr>
      <w:r>
        <w:t xml:space="preserve">C. Tool Execution Pipeline (Runtime)</w:t>
      </w:r>
    </w:p>
    <w:p>
      <w:pPr>
        <w:spacing w:after="120"/>
      </w:pPr>
      <w:r>
        <w:t xml:space="preserve">A unified execution pipeline that routes tool calls by type through a dispatcher with composable middleware, supporting four distinct executor types with built-in resilience patterns.</w:t>
      </w:r>
    </w:p>
    <w:p>
      <w:pPr>
        <w:pStyle w:val="Heading3"/>
      </w:pPr>
      <w:r>
        <w:t xml:space="preserve">ToolBindingExecutor — Unified Dispatcher</w:t>
      </w:r>
    </w:p>
    <w:p>
      <w:pPr>
        <w:spacing w:after="120"/>
      </w:pPr>
      <w:r>
        <w:t xml:space="preserve">Routes tool calls by tool_type (http, mcp, sandbox, lambda) with a composable middleware chain for logging and audit on all tool calls.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360"/>
        <w:gridCol w:w="400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Executor</w:t>
            </w:r>
          </w:p>
        </w:tc>
        <w:tc>
          <w:tcPr>
            <w:tcW w:type="dxa" w:w="3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c>
          <w:tcPr>
            <w:tcW w:type="dxa" w:w="4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Key Capabilities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HttpToolExecutor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Full HTTP tool execution</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SSRF protection, auth injection (API key / Bearer / OAuth2 client &amp; user / SAML / custom), retry, circuit breaker, rate limiting</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sz w:val="20"/>
                <w:szCs w:val="20"/>
              </w:rPr>
              <w:t xml:space="preserve">McpToolExecutor</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MCP tool execution</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MCP client protocol via stdio/SSE transports, circuit breaker, retry on transient errors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SandboxToolExecutor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Isolated code execution (JS/Python)</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Path traversal protection, configurable memory/timeout limits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sz w:val="20"/>
                <w:szCs w:val="20"/>
              </w:rPr>
              <w:t xml:space="preserve">LambdaToolExecutor</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Serverless function invocation</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Cloud function invocation wrapper</w:t>
            </w:r>
          </w:p>
        </w:tc>
      </w:tr>
    </w:tbl>
    <w:p>
      <w:pPr>
        <w:spacing w:after="120"/>
      </w:pPr>
      <w:r>
        <w:t xml:space="preserve"/>
      </w:r>
    </w:p>
    <w:p>
      <w:pPr>
        <w:pStyle w:val="Heading3"/>
      </w:pPr>
      <w:r>
        <w:t xml:space="preserve">Tool Resilience</w:t>
      </w:r>
    </w:p>
    <w:p>
      <w:pPr>
        <w:pStyle w:val="ListParagraph"/>
        <w:numPr>
          <w:ilvl w:val="0"/>
          <w:numId w:val="2"/>
        </w:numPr>
        <w:spacing w:after="60"/>
      </w:pPr>
      <w:r>
        <w:t xml:space="preserve">Per-tool circuit breakers with configurable failure thresholds</w:t>
      </w:r>
    </w:p>
    <w:p>
      <w:pPr>
        <w:pStyle w:val="ListParagraph"/>
        <w:numPr>
          <w:ilvl w:val="0"/>
          <w:numId w:val="2"/>
        </w:numPr>
        <w:spacing w:after="60"/>
      </w:pPr>
      <w:r>
        <w:t xml:space="preserve">Retry with exponential backoff on transient errors</w:t>
      </w:r>
    </w:p>
    <w:p>
      <w:pPr>
        <w:pStyle w:val="ListParagraph"/>
        <w:numPr>
          <w:ilvl w:val="0"/>
          <w:numId w:val="2"/>
        </w:numPr>
        <w:spacing w:after="60"/>
      </w:pPr>
      <w:r>
        <w:t xml:space="preserve">Rate limiting per tool to prevent external API overload</w:t>
      </w:r>
    </w:p>
    <w:p>
      <w:pPr>
        <w:pStyle w:val="Heading2"/>
      </w:pPr>
      <w:r>
        <w:t xml:space="preserve">D. Secrets &amp; Credentials Management (Runtime)</w:t>
      </w:r>
    </w:p>
    <w:p>
      <w:pPr>
        <w:spacing w:after="120"/>
      </w:pPr>
      <w:r>
        <w:t xml:space="preserve">Enterprise-grade secrets management with multi-layer resolution, tenant-scoped encryption, and full lifecycle support including rotation and audit.</w:t>
      </w:r>
    </w:p>
    <w:p>
      <w:pPr>
        <w:pStyle w:val="Heading3"/>
      </w:pPr>
      <w:r>
        <w:t xml:space="preserve">RuntimeSecretsProvider — 5-Layer Resolution 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80"/>
        <w:gridCol w:w="5080"/>
      </w:tblGrid>
      <w:t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30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w:t>
            </w:r>
          </w:p>
        </w:tc>
        <w:tc>
          <w:tcPr>
            <w:tcW w:type="dxa" w:w="50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1 (Highest)</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Session Auth</w:t>
            </w:r>
          </w:p>
        </w:tc>
        <w:tc>
          <w:tcPr>
            <w:tcW w:type="dxa" w:w="5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Runtime session-level authentication context</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2</w:t>
            </w:r>
          </w:p>
        </w:tc>
        <w:tc>
          <w:tcPr>
            <w:tcW w:type="dxa" w:w="3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Cache</w:t>
            </w:r>
          </w:p>
        </w:tc>
        <w:tc>
          <w:tcPr>
            <w:tcW w:type="dxa" w:w="5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In-memory secret cache for performance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3</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Encrypted DB</w:t>
            </w:r>
          </w:p>
        </w:tc>
        <w:tc>
          <w:tcPr>
            <w:tcW w:type="dxa" w:w="5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AES-256-GCM encrypted secrets with tenant-scoped Data Encryption Keys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4</w:t>
            </w:r>
          </w:p>
        </w:tc>
        <w:tc>
          <w:tcPr>
            <w:tcW w:type="dxa" w:w="3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Agent IR</w:t>
            </w:r>
          </w:p>
        </w:tc>
        <w:tc>
          <w:tcPr>
            <w:tcW w:type="dxa" w:w="5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Secrets compiled into Agent Intermediate Representation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5 (Lowest)</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Environment Variables</w:t>
            </w:r>
          </w:p>
        </w:tc>
        <w:tc>
          <w:tcPr>
            <w:tcW w:type="dxa" w:w="5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Fallback to system environment variables</w:t>
            </w:r>
          </w:p>
        </w:tc>
      </w:tr>
    </w:tbl>
    <w:p>
      <w:pPr>
        <w:spacing w:after="120"/>
      </w:pPr>
      <w:r>
        <w:t xml:space="preserve"/>
      </w:r>
    </w:p>
    <w:p>
      <w:pPr>
        <w:pStyle w:val="ListParagraph"/>
        <w:numPr>
          <w:ilvl w:val="0"/>
          <w:numId w:val="2"/>
        </w:numPr>
        <w:spacing w:after="60"/>
      </w:pPr>
      <w:r>
        <w:rPr>
          <w:b/>
          <w:bCs/>
        </w:rPr>
        <w:t xml:space="preserve">Encryption: </w:t>
      </w:r>
      <w:r>
        <w:t xml:space="preserve">AES-256-GCM with tenant-scoped Data Encryption Keys (DEKs)</w:t>
      </w:r>
    </w:p>
    <w:p>
      <w:pPr>
        <w:pStyle w:val="ListParagraph"/>
        <w:numPr>
          <w:ilvl w:val="0"/>
          <w:numId w:val="2"/>
        </w:numPr>
        <w:spacing w:after="60"/>
      </w:pPr>
      <w:r>
        <w:rPr>
          <w:b/>
          <w:bCs/>
        </w:rPr>
        <w:t xml:space="preserve">Secret Rotation: </w:t>
      </w:r>
      <w:r>
        <w:t xml:space="preserve">Version tracking with expiry warnings and audit logging</w:t>
      </w:r>
    </w:p>
    <w:p>
      <w:pPr>
        <w:pStyle w:val="ListParagraph"/>
        <w:numPr>
          <w:ilvl w:val="0"/>
          <w:numId w:val="2"/>
        </w:numPr>
        <w:spacing w:after="60"/>
      </w:pPr>
      <w:r>
        <w:rPr>
          <w:b/>
          <w:bCs/>
        </w:rPr>
        <w:t xml:space="preserve">CRUD API: </w:t>
      </w:r>
      <w:r>
        <w:t xml:space="preserve">Create, list, rotate, and delete encrypted per-tool/per-environment credentials</w:t>
      </w:r>
    </w:p>
    <w:p>
      <w:pPr>
        <w:pStyle w:val="ListParagraph"/>
        <w:numPr>
          <w:ilvl w:val="0"/>
          <w:numId w:val="2"/>
        </w:numPr>
        <w:spacing w:after="60"/>
      </w:pPr>
      <w:r>
        <w:rPr>
          <w:b/>
          <w:bCs/>
        </w:rPr>
        <w:t xml:space="preserve">OAuth2 User-Provider Token Resolution: </w:t>
      </w:r>
      <w:r>
        <w:t xml:space="preserve">Per-user OAuth token resolution for user-context tools</w:t>
      </w:r>
    </w:p>
    <w:p>
      <w:pPr>
        <w:pStyle w:val="Heading2"/>
      </w:pPr>
      <w:r>
        <w:t xml:space="preserve">E. Proxy Support (Runtime)</w:t>
      </w:r>
    </w:p>
    <w:p>
      <w:pPr>
        <w:spacing w:after="120"/>
      </w:pPr>
      <w:r>
        <w:t xml:space="preserve">Enterprise proxy configuration for organizations requiring outbound traffic routing through corporate proxy infrastructure.</w:t>
      </w:r>
    </w:p>
    <w:p>
      <w:pPr>
        <w:pStyle w:val="ListParagraph"/>
        <w:numPr>
          <w:ilvl w:val="0"/>
          <w:numId w:val="2"/>
        </w:numPr>
        <w:spacing w:after="60"/>
      </w:pPr>
      <w:r>
        <w:rPr>
          <w:b/>
          <w:bCs/>
        </w:rPr>
        <w:t xml:space="preserve">ProxyResolver: </w:t>
      </w:r>
      <w:r>
        <w:t xml:space="preserve">Priority-ordered URL pattern matching with bypass patterns</w:t>
      </w:r>
    </w:p>
    <w:p>
      <w:pPr>
        <w:pStyle w:val="ListParagraph"/>
        <w:numPr>
          <w:ilvl w:val="0"/>
          <w:numId w:val="2"/>
        </w:numPr>
        <w:spacing w:after="60"/>
      </w:pPr>
      <w:r>
        <w:rPr>
          <w:b/>
          <w:bCs/>
        </w:rPr>
        <w:t xml:space="preserve">Auth Types: </w:t>
      </w:r>
      <w:r>
        <w:t xml:space="preserve">Basic, bearer, and API key authentication for proxy servers</w:t>
      </w:r>
    </w:p>
    <w:p>
      <w:pPr>
        <w:pStyle w:val="ListParagraph"/>
        <w:numPr>
          <w:ilvl w:val="0"/>
          <w:numId w:val="2"/>
        </w:numPr>
        <w:spacing w:after="60"/>
      </w:pPr>
      <w:r>
        <w:rPr>
          <w:b/>
          <w:bCs/>
        </w:rPr>
        <w:t xml:space="preserve">Certificate Support: </w:t>
      </w:r>
      <w:r>
        <w:t xml:space="preserve">CA certificate and mTLS support for corporate proxies</w:t>
      </w:r>
    </w:p>
    <w:p>
      <w:pPr>
        <w:pStyle w:val="ListParagraph"/>
        <w:numPr>
          <w:ilvl w:val="0"/>
          <w:numId w:val="2"/>
        </w:numPr>
        <w:spacing w:after="60"/>
      </w:pPr>
      <w:r>
        <w:rPr>
          <w:b/>
          <w:bCs/>
        </w:rPr>
        <w:t xml:space="preserve">Per-Environment Configs: </w:t>
      </w:r>
      <w:r>
        <w:t xml:space="preserve">Proxy configurations with enable/disable toggle per environment</w:t>
      </w:r>
    </w:p>
    <w:p>
      <w:pPr>
        <w:pStyle w:val="Heading2"/>
      </w:pPr>
      <w:r>
        <w:t xml:space="preserve">F. OAuth for Tool Execution (Runtime)</w:t>
      </w:r>
    </w:p>
    <w:p>
      <w:pPr>
        <w:spacing w:after="120"/>
      </w:pPr>
      <w:r>
        <w:t xml:space="preserve">Full OAuth2 implementation for tools that require user-context authorization, supporting both authorization code and client credentials flows.</w:t>
      </w:r>
    </w:p>
    <w:p>
      <w:pPr>
        <w:pStyle w:val="ListParagraph"/>
        <w:numPr>
          <w:ilvl w:val="0"/>
          <w:numId w:val="2"/>
        </w:numPr>
        <w:spacing w:after="60"/>
      </w:pPr>
      <w:r>
        <w:rPr>
          <w:b/>
          <w:bCs/>
        </w:rPr>
        <w:t xml:space="preserve">ToolOAuthService: </w:t>
      </w:r>
      <w:r>
        <w:t xml:space="preserve">Full OAuth2 authorization code flow implementation</w:t>
      </w:r>
    </w:p>
    <w:p>
      <w:pPr>
        <w:pStyle w:val="ListParagraph"/>
        <w:numPr>
          <w:ilvl w:val="0"/>
          <w:numId w:val="2"/>
        </w:numPr>
        <w:spacing w:after="60"/>
      </w:pPr>
      <w:r>
        <w:rPr>
          <w:b/>
          <w:bCs/>
        </w:rPr>
        <w:t xml:space="preserve">Security: </w:t>
      </w:r>
      <w:r>
        <w:t xml:space="preserve">CSRF state parameter protection</w:t>
      </w:r>
    </w:p>
    <w:p>
      <w:pPr>
        <w:pStyle w:val="ListParagraph"/>
        <w:numPr>
          <w:ilvl w:val="0"/>
          <w:numId w:val="2"/>
        </w:numPr>
        <w:spacing w:after="60"/>
      </w:pPr>
      <w:r>
        <w:rPr>
          <w:b/>
          <w:bCs/>
        </w:rPr>
        <w:t xml:space="preserve">Token Management: </w:t>
      </w:r>
      <w:r>
        <w:t xml:space="preserve">Token refresh with automatic retry on 401 responses</w:t>
      </w:r>
    </w:p>
    <w:p>
      <w:pPr>
        <w:pStyle w:val="ListParagraph"/>
        <w:numPr>
          <w:ilvl w:val="0"/>
          <w:numId w:val="2"/>
        </w:numPr>
        <w:spacing w:after="60"/>
      </w:pPr>
      <w:r>
        <w:rPr>
          <w:b/>
          <w:bCs/>
        </w:rPr>
        <w:t xml:space="preserve">Encrypted Storage: </w:t>
      </w:r>
      <w:r>
        <w:t xml:space="preserve">Token storage per-tenant with encryption at rest</w:t>
      </w:r>
    </w:p>
    <w:p>
      <w:pPr>
        <w:pStyle w:val="ListParagraph"/>
        <w:numPr>
          <w:ilvl w:val="0"/>
          <w:numId w:val="2"/>
        </w:numPr>
        <w:spacing w:after="60"/>
      </w:pPr>
      <w:r>
        <w:rPr>
          <w:b/>
          <w:bCs/>
        </w:rPr>
        <w:t xml:space="preserve">Token Revocation: </w:t>
      </w:r>
      <w:r>
        <w:t xml:space="preserve">Dedicated endpoint for revoking OAuth tokens</w:t>
      </w:r>
    </w:p>
    <w:p>
      <w:pPr>
        <w:pStyle w:val="ListParagraph"/>
        <w:numPr>
          <w:ilvl w:val="0"/>
          <w:numId w:val="2"/>
        </w:numPr>
        <w:spacing w:after="60"/>
      </w:pPr>
      <w:r>
        <w:rPr>
          <w:b/>
          <w:bCs/>
        </w:rPr>
        <w:t xml:space="preserve">Client Credentials Flow: </w:t>
      </w:r>
      <w:r>
        <w:t xml:space="preserve">Service-to-service tool authentication</w:t>
      </w:r>
    </w:p>
    <w:p>
      <w:pPr>
        <w:pStyle w:val="Heading2"/>
      </w:pPr>
      <w:r>
        <w:t xml:space="preserve">G. Database Models (Shared)</w:t>
      </w:r>
    </w:p>
    <w:p>
      <w:pPr>
        <w:spacing w:after="120"/>
      </w:pPr>
      <w:r>
        <w:t xml:space="preserve">Shared data layer with normalized types, aggregation-based queries, cascade deletes, and tenant isolation plugins.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Model</w:t>
            </w:r>
          </w:p>
        </w:tc>
        <w:tc>
          <w:tcPr>
            <w:tcW w:type="dxa" w:w="6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Tool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Tool definitions with versioning, bindings, parameters, and return types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sz w:val="20"/>
                <w:szCs w:val="20"/>
              </w:rPr>
              <w:t xml:space="preserve">ToolVersion</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Immutable version snapshots of tool configurations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ToolSecret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Encrypted per-tool credentials with rotation support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sz w:val="20"/>
                <w:szCs w:val="20"/>
              </w:rPr>
              <w:t xml:space="preserve">MCPServerConfig</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MCP server connection configurations per project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OrgProxyConfig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Organization-level proxy configurations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sz w:val="20"/>
                <w:szCs w:val="20"/>
              </w:rPr>
              <w:t xml:space="preserve">OAuthProvider</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OAuth provider registration and configuration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OAuthToken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Encrypted OAuth credential storage per-tenant</w:t>
            </w:r>
          </w:p>
        </w:tc>
      </w:tr>
    </w:tbl>
    <w:p>
      <w:r>
        <w:br w:type="page"/>
      </w:r>
    </w:p>
    <w:p>
      <w:pPr>
        <w:pStyle w:val="Heading1"/>
      </w:pPr>
      <w:r>
        <w:t xml:space="preserve">Part 2: End-to-End Integration Flow</w:t>
      </w:r>
    </w:p>
    <w:p>
      <w:pPr>
        <w:spacing w:after="120"/>
      </w:pPr>
      <w:r>
        <w:t xml:space="preserve">The following describes the complete data and execution flow from tool creation in Studio through to runtime execution and response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5960"/>
      </w:tblGrid>
      <w:tr>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Step</w:t>
            </w:r>
          </w:p>
        </w:tc>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5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Happens</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1</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sz w:val="20"/>
                <w:szCs w:val="20"/>
              </w:rPr>
              <w:t xml:space="preserve">Studio UI</w:t>
            </w:r>
          </w:p>
        </w:tc>
        <w:tc>
          <w:tcPr>
            <w:tcW w:type="dxa" w:w="5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User creates/manages tools, MCP servers, and secrets via dedicated wizard pages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2</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Studio API</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POST /api/projects/:id/tools → creates Tool + Draft Version, encrypts secrets (AES-256-GCM), validates URLs (SSRF protection)</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3</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sz w:val="20"/>
                <w:szCs w:val="20"/>
              </w:rPr>
              <w:t xml:space="preserve">Studio API</w:t>
            </w:r>
          </w:p>
        </w:tc>
        <w:tc>
          <w:tcPr>
            <w:tcW w:type="dxa" w:w="5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User registers MCP server → discovers and imports tools → encrypted env vars stored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4</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Agent DSL</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Agent DSL references tools via inline definitions OR DB-managed tool names</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5</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sz w:val="20"/>
                <w:szCs w:val="20"/>
              </w:rPr>
              <w:t xml:space="preserve">Compiler</w:t>
            </w:r>
          </w:p>
        </w:tc>
        <w:tc>
          <w:tcPr>
            <w:tcW w:type="dxa" w:w="5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Compiler produces AgentIR with ToolDefinition[] and type-specific bindings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6</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Runtime: Session Bootstrap</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Session created → llm-wiring.ts loads DSL tools from AgentIR, DB tools via AgentToolLoader, MCP servers via RuntimeMcpProvider → merges into ToolBindingExecutor</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7</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sz w:val="20"/>
                <w:szCs w:val="20"/>
              </w:rPr>
              <w:t xml:space="preserve">Runtime: Dispatch</w:t>
            </w:r>
          </w:p>
        </w:tc>
        <w:tc>
          <w:tcPr>
            <w:tcW w:type="dxa" w:w="5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LLM requests tool call → ToolBindingExecutor dispatches to type-specific executor: HTTP / MCP / Sandbox / Lambda</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8</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Runtime: Secrets</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RuntimeSecretsProvider resolves credentials through 5-layer resolution chain</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9</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sz w:val="20"/>
                <w:szCs w:val="20"/>
              </w:rPr>
              <w:t xml:space="preserve">Runtime: Proxy</w:t>
            </w:r>
          </w:p>
        </w:tc>
        <w:tc>
          <w:tcPr>
            <w:tcW w:type="dxa" w:w="5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ProxyResolver applies proxy config to HTTP tool outbound requests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10</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Runtime: OAuth</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ToolOAuthService handles token acquisition/refresh for user-context tools</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11</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sz w:val="20"/>
                <w:szCs w:val="20"/>
              </w:rPr>
              <w:t xml:space="preserve">Runtime: Resilience</w:t>
            </w:r>
          </w:p>
        </w:tc>
        <w:tc>
          <w:tcPr>
            <w:tcW w:type="dxa" w:w="5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Circuit breakers + retry + rate limiting applied per tool</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12</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External</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Request reaches external target: HTTP APIs, MCP servers, Lambda functions, sandboxed code</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13</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sz w:val="20"/>
                <w:szCs w:val="20"/>
              </w:rPr>
              <w:t xml:space="preserve">Runtime: Response</w:t>
            </w:r>
          </w:p>
        </w:tc>
        <w:tc>
          <w:tcPr>
            <w:tcW w:type="dxa" w:w="5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Result → audit trail → back to LLM context for continued reasoning</w:t>
            </w:r>
          </w:p>
        </w:tc>
      </w:tr>
    </w:tbl>
    <w:p>
      <w:r>
        <w:br w:type="page"/>
      </w:r>
    </w:p>
    <w:p>
      <w:pPr>
        <w:pStyle w:val="Heading1"/>
      </w:pPr>
      <w:r>
        <w:t xml:space="preserve">Part 3: Remaining Gaps — Categorized by Severity</w:t>
      </w:r>
    </w:p>
    <w:p>
      <w:pPr>
        <w:spacing w:after="120"/>
      </w:pPr>
      <w:r>
        <w:t xml:space="preserve">All identified gaps are categorized by severity to guide prioritization and sprint planning. Each gap includes a unique identifier, category classification, and detailed description.</w:t>
      </w:r>
    </w:p>
    <w:p>
      <w:pPr>
        <w:pStyle w:val="Heading2"/>
      </w:pPr>
      <w:r>
        <w:t xml:space="preserve">Critical Gaps (Security / Data Integrity / Blocking Production)</w:t>
      </w:r>
    </w:p>
    <w:p>
      <w:pPr>
        <w:spacing w:after="120"/>
      </w:pPr>
      <w:r>
        <w:rPr>
          <w:b/>
          <w:bCs/>
          <w:color w:val="D32F2F"/>
        </w:rPr>
        <w:t xml:space="preserve">These gaps either block production use or represent security vulnerabilities that must be resolved before release.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2760"/>
        <w:gridCol w:w="4600"/>
      </w:tblGrid>
      <w:tr>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c>
          <w:tcPr>
            <w:tcW w:type="dxa" w:w="2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Gap</w:t>
            </w:r>
          </w:p>
        </w:tc>
        <w:tc>
          <w:tcPr>
            <w:tcW w:type="dxa" w:w="4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C1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Security</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Tool test endpoint has no project-scope RBAC</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Studio tool test route uses generic requireProject: true — no tool:test permission check. Any project member can test any tool.</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sz w:val="20"/>
                <w:szCs w:val="20"/>
              </w:rPr>
              <w:t xml:space="preserve">C2</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Security</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sz w:val="20"/>
                <w:szCs w:val="20"/>
              </w:rPr>
              <w:t xml:space="preserve">Studio tool/MCP routes lack granular RBAC</w:t>
            </w:r>
          </w:p>
        </w:tc>
        <w:tc>
          <w:tcPr>
            <w:tcW w:type="dxa" w:w="4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All Studio API routes use requireProjectAccess() only. The permissions field in withRouteHandler is marked “Reserved for future RBAC wiring” — not implemented. No tool:read, tool:write, tool:delete, mcp:create, mcp:delete enforcement.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C3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Security</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Tool test responses may leak secrets</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Tool test endpoint returns full tool execution response including headers/body. If a tool returns sensitive data in error messages or response headers, it’s exposed to the tester.</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sz w:val="20"/>
                <w:szCs w:val="20"/>
              </w:rPr>
              <w:t xml:space="preserve">C4</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Security</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sz w:val="20"/>
                <w:szCs w:val="20"/>
              </w:rPr>
              <w:t xml:space="preserve">No rate limiting on tool test endpoint</w:t>
            </w:r>
          </w:p>
        </w:tc>
        <w:tc>
          <w:tcPr>
            <w:tcW w:type="dxa" w:w="4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Tool test can trigger arbitrary outbound HTTP/MCP calls. No rate limit = potential for abuse (SSRF probing, external API spam).</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C5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Tenant Isolation</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CallerContext not fully propagated to tool executors</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Tool executors receive only { sessionId, tenantId, userId }. Full CallerContext (channel, identityTier, verificationMethod, sourceIp, contactId, etc.) is lost. Tools cannot make user-context-aware decisions and audit trails lack caller identity details.</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sz w:val="20"/>
                <w:szCs w:val="20"/>
              </w:rPr>
              <w:t xml:space="preserve">C6</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Blocking</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sz w:val="20"/>
                <w:szCs w:val="20"/>
              </w:rPr>
              <w:t xml:space="preserve">No sandbox runner implementation</w:t>
            </w:r>
          </w:p>
        </w:tc>
        <w:tc>
          <w:tcPr>
            <w:tcW w:type="dxa" w:w="4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SandboxToolExecutor calls runner.run() but no actual SandboxRunner is wired in the runtime. Code tools will fail at execution time. Needs a Docker/isolate/Firecracker-based runner or a hosted sandbox service integration.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C7</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Blocking</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No Lambda invoker implementation</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LambdaToolExecutor calls invoker.invoke() but no LambdaInvoker is wired. Needs AWS Lambda SDK integration or equivalent cloud function invocation.</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sz w:val="20"/>
                <w:szCs w:val="20"/>
              </w:rPr>
              <w:t xml:space="preserve">C8</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Race Condition</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sz w:val="20"/>
                <w:szCs w:val="20"/>
              </w:rPr>
              <w:t xml:space="preserve">Fire-and-forget DB tool loading</w:t>
            </w:r>
          </w:p>
        </w:tc>
        <w:tc>
          <w:tcPr>
            <w:tcW w:type="dxa" w:w="4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_loadAndMergeDbTools() runs async after session creation. If the first user message arrives before DB tools finish loading, the executor won’t have them. Needs either await before marking session ready, or queue messages until tools are loaded.</w:t>
            </w:r>
          </w:p>
        </w:tc>
      </w:tr>
    </w:tbl>
    <w:p>
      <w:pPr>
        <w:spacing w:after="120"/>
      </w:pPr>
      <w:r>
        <w:t xml:space="preserve"/>
      </w:r>
    </w:p>
    <w:p>
      <w:r>
        <w:br w:type="page"/>
      </w:r>
    </w:p>
    <w:p>
      <w:pPr>
        <w:pStyle w:val="Heading2"/>
      </w:pPr>
      <w:r>
        <w:t xml:space="preserve">High Gaps (Architecture / Correctness / Functional)</w:t>
      </w:r>
    </w:p>
    <w:p>
      <w:pPr>
        <w:spacing w:after="120"/>
      </w:pPr>
      <w:r>
        <w:rPr>
          <w:b/>
          <w:bCs/>
          <w:color w:val="F57C00"/>
        </w:rPr>
        <w:t xml:space="preserve">Significant architectural or functional issues that will cause problems in specific use cases or degrade maintainability.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2760"/>
        <w:gridCol w:w="4600"/>
      </w:tblGrid>
      <w:tr>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c>
          <w:tcPr>
            <w:tcW w:type="dxa" w:w="2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Gap</w:t>
            </w:r>
          </w:p>
        </w:tc>
        <w:tc>
          <w:tcPr>
            <w:tcW w:type="dxa" w:w="4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H1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Redundant Code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Two duplicate MCP Server Registries</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packages/shared vs apps/runtime versions. Runtime adds SSRF validation and project ownership verification that the shared version lacks. Shared version used by Studio is less secure.</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sz w:val="20"/>
                <w:szCs w:val="20"/>
              </w:rPr>
              <w:t xml:space="preserve">H2</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Redundant Code</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sz w:val="20"/>
                <w:szCs w:val="20"/>
              </w:rPr>
              <w:t xml:space="preserve">Three separate SSRF validators</w:t>
            </w:r>
          </w:p>
        </w:tc>
        <w:tc>
          <w:tcPr>
            <w:tcW w:type="dxa" w:w="4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packages/a2a (simple regex), packages/shared/security (comprehensive), packages/compiler (advanced with octal/decimal IP decoding). Different security guarantees depending on which is used.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H3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Wiring Gap</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DB tools loaded fire-and-forget (also C8)</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_loadAndMergeDbTools() runs async after session creation. No await, no readiness signal. First user message may arrive before tools are available.</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sz w:val="20"/>
                <w:szCs w:val="20"/>
              </w:rPr>
              <w:t xml:space="preserve">H4</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Wiring Gap</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sz w:val="20"/>
                <w:szCs w:val="20"/>
              </w:rPr>
              <w:t xml:space="preserve">Proxy support missing for MCP tools</w:t>
            </w:r>
          </w:p>
        </w:tc>
        <w:tc>
          <w:tcPr>
            <w:tcW w:type="dxa" w:w="4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ProxyResolver is wired into HttpToolExecutor but not McpToolExecutor. In corporate environments requiring proxy for all outbound traffic, MCP tools will fail to connect.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H5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Wiring Gap</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No Studio UI for OAuth provider management</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OAuth2 flows are fully implemented in runtime (ToolOAuthService) but Studio has no UI to register OAuth providers, configure callback URLs, or manage user consent.</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sz w:val="20"/>
                <w:szCs w:val="20"/>
              </w:rPr>
              <w:t xml:space="preserve">H6</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Redundant Code</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sz w:val="20"/>
                <w:szCs w:val="20"/>
              </w:rPr>
              <w:t xml:space="preserve">5+ locations defining ToolDefinition types</w:t>
            </w:r>
          </w:p>
        </w:tc>
        <w:tc>
          <w:tcPr>
            <w:tcW w:type="dxa" w:w="4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Tool definition types exist in compiler IR, runtime types, shared types, Studio types, and DB models. Changes to tool schema require updates in multiple places.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H7</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Wiring Gap</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Tool secrets not flowing into HTTP executor</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RuntimeSecretsProvider is constructed and passed to ToolBindingExecutor, but wiring between secret resolution and {{secrets.KEY}} placeholder replacement in HTTP headers/auth config needs verification.</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sz w:val="20"/>
                <w:szCs w:val="20"/>
              </w:rPr>
              <w:t xml:space="preserve">H8</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Wiring Gap</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sz w:val="20"/>
                <w:szCs w:val="20"/>
              </w:rPr>
              <w:t xml:space="preserve">MCP binding uses DB _id but DSL may use name</w:t>
            </w:r>
          </w:p>
        </w:tc>
        <w:tc>
          <w:tcPr>
            <w:tcW w:type="dxa" w:w="4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If an agent’s ABL DSL references an MCP tool by server name but RuntimeMcpClientProvider registers servers by _id, the lookup would fail. Needs name-to-id resolution.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H9</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Wiring Gap</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OAuth2 user-provider tokens not integrated</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HttpToolExecutor supports oauth2_user auth type needing per-user OAuth token. RuntimeSecretsProvider.getUserOAuthToken() calls an oauthResolver, but no OAuth provider registration or token storage system exists yet.</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sz w:val="20"/>
                <w:szCs w:val="20"/>
              </w:rPr>
              <w:t xml:space="preserve">H10</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Wiring Gap</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sz w:val="20"/>
                <w:szCs w:val="20"/>
              </w:rPr>
              <w:t xml:space="preserve">No tool execution from Studio test UI</w:t>
            </w:r>
          </w:p>
        </w:tc>
        <w:tc>
          <w:tcPr>
            <w:tcW w:type="dxa" w:w="4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Studio has a “Test Tool” dialog but the test API route (POST /tools/:toolId/test) needs to call the runtime to actually execute. Runtime endpoint isn’t wired end-to-end.</w:t>
            </w:r>
          </w:p>
        </w:tc>
      </w:tr>
    </w:tbl>
    <w:p>
      <w:pPr>
        <w:spacing w:after="120"/>
      </w:pPr>
      <w:r>
        <w:t xml:space="preserve"/>
      </w:r>
    </w:p>
    <w:p>
      <w:r>
        <w:br w:type="page"/>
      </w:r>
    </w:p>
    <w:p>
      <w:pPr>
        <w:pStyle w:val="Heading2"/>
      </w:pPr>
      <w:r>
        <w:t xml:space="preserve">Medium Gaps (UX / Developer Experience / Operations)</w:t>
      </w:r>
    </w:p>
    <w:p>
      <w:pPr>
        <w:spacing w:after="120"/>
      </w:pPr>
      <w:r>
        <w:rPr>
          <w:b/>
          <w:bCs/>
          <w:color w:val="E69500"/>
        </w:rPr>
        <w:t xml:space="preserve">User experience and operational issues that affect developer productivity and day-to-day usability.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2760"/>
        <w:gridCol w:w="4600"/>
      </w:tblGrid>
      <w:tr>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c>
          <w:tcPr>
            <w:tcW w:type="dxa" w:w="2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Gap</w:t>
            </w:r>
          </w:p>
        </w:tc>
        <w:tc>
          <w:tcPr>
            <w:tcW w:type="dxa" w:w="4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M1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UX</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No confirmation dialog for version publishing</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Publishing a tool version (making it immutable) has no “Are you sure?” confirmation. Accidental publishes can’t be undone.</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sz w:val="20"/>
                <w:szCs w:val="20"/>
              </w:rPr>
              <w:t xml:space="preserve">M2</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UX</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sz w:val="20"/>
                <w:szCs w:val="20"/>
              </w:rPr>
              <w:t xml:space="preserve">No pagination in tool/MCP lists</w:t>
            </w:r>
          </w:p>
        </w:tc>
        <w:tc>
          <w:tcPr>
            <w:tcW w:type="dxa" w:w="4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Tool and MCP server lists render all items. With 50+ tools, the UI will degrade.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M3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UX</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No tool health dashboard</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No visibility into tool execution success rates, latency, error rates. Users can’t see which tools are failing without checking traces.</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sz w:val="20"/>
                <w:szCs w:val="20"/>
              </w:rPr>
              <w:t xml:space="preserve">M4</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UX</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sz w:val="20"/>
                <w:szCs w:val="20"/>
              </w:rPr>
              <w:t xml:space="preserve">MCP tool testing only works after import</w:t>
            </w:r>
          </w:p>
        </w:tc>
        <w:tc>
          <w:tcPr>
            <w:tcW w:type="dxa" w:w="4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Users must import an MCP tool into their project before they can test it. No “try before you import” capability.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M5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UX</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Agent DSL editor uses inline tool definitions</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Agents define tools inline in ABL source rather than referencing project-level tool definitions by ID. No linkage between “tools managed in UI” and “tools used by agents.”</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sz w:val="20"/>
                <w:szCs w:val="20"/>
              </w:rPr>
              <w:t xml:space="preserve">M6</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Confusing</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sz w:val="20"/>
                <w:szCs w:val="20"/>
              </w:rPr>
              <w:t xml:space="preserve">Inconsistent auth middleware patterns</w:t>
            </w:r>
          </w:p>
        </w:tc>
        <w:tc>
          <w:tcPr>
            <w:tcW w:type="dxa" w:w="4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Four different authorization patterns coexist: requirePermission (org-level), requirePermissionInline (inline check), requireProjectPermission (project RBAC), requireWriteAccess (legacy). New developers won’t know which to use.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M7</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Confusing</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security-repo.ts still exists in runtime</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After consolidation to @agent-platform/shared/repos, the runtime security-repo.ts still exists with env-var-only functions. Should be deleted or clearly scoped.</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sz w:val="20"/>
                <w:szCs w:val="20"/>
              </w:rPr>
              <w:t xml:space="preserve">M8</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Operations</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sz w:val="20"/>
                <w:szCs w:val="20"/>
              </w:rPr>
              <w:t xml:space="preserve">No deployment snapshot for DB tools</w:t>
            </w:r>
          </w:p>
        </w:tc>
        <w:tc>
          <w:tcPr>
            <w:tcW w:type="dxa" w:w="4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snapshotVersionRefs() exists but isn’t used by the deployment pipeline. Tool versions active at deployment should be pinned. Currently only DSL tools (compiled into AgentIR) are deployment-stable.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M9</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Operations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No tool schema validation at compile time</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The compiler’s validateToolReferences validates tool call references but doesn’t validate that referenced DB tools actually exist or that their schemas match the call site.</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sz w:val="20"/>
                <w:szCs w:val="20"/>
              </w:rPr>
              <w:t xml:space="preserve">M10</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Operations</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sz w:val="20"/>
                <w:szCs w:val="20"/>
              </w:rPr>
              <w:t xml:space="preserve">MCP server health monitoring</w:t>
            </w:r>
          </w:p>
        </w:tc>
        <w:tc>
          <w:tcPr>
            <w:tcW w:type="dxa" w:w="4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Servers are connected at session creation. If an MCP server goes down mid-session, there’s no health check/reconnect loop beyond autoReconnect flag. Circuit breaker helps but doesn’t trigger reconnection.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M11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Operations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Audit trail for tool test executions</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Tool tests from Studio UI aren’t distinguished from production tool calls in the audit trail. Need a source: ‘test’ flag on trace events.</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sz w:val="20"/>
                <w:szCs w:val="20"/>
              </w:rPr>
              <w:t xml:space="preserve">M12</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Operations</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sz w:val="20"/>
                <w:szCs w:val="20"/>
              </w:rPr>
              <w:t xml:space="preserve">Rate limiter state is pod-local</w:t>
            </w:r>
          </w:p>
        </w:tc>
        <w:tc>
          <w:tcPr>
            <w:tcW w:type="dxa" w:w="4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tool-resilience-factory.ts uses in-memory Maps for rate limiting and circuit breakers. In multi-pod deployment, limits aren’t shared. Need Redis-backed rate limiting for cross-pod enforcement.</w:t>
            </w:r>
          </w:p>
        </w:tc>
      </w:tr>
    </w:tbl>
    <w:p>
      <w:pPr>
        <w:spacing w:after="120"/>
      </w:pPr>
      <w:r>
        <w:t xml:space="preserve"/>
      </w:r>
    </w:p>
    <w:p>
      <w:pPr>
        <w:pStyle w:val="Heading2"/>
      </w:pPr>
      <w:r>
        <w:t xml:space="preserve">Low Gaps (Polish / Future Enhancements)</w:t>
      </w:r>
    </w:p>
    <w:p>
      <w:pPr>
        <w:spacing w:after="120"/>
      </w:pPr>
      <w:r>
        <w:rPr>
          <w:color w:val="388E3C"/>
        </w:rPr>
        <w:t xml:space="preserve">Nice-to-have improvements that will enhance the platform over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2760"/>
        <w:gridCol w:w="4600"/>
      </w:tblGrid>
      <w:tr>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c>
          <w:tcPr>
            <w:tcW w:type="dxa" w:w="2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Gap</w:t>
            </w:r>
          </w:p>
        </w:tc>
        <w:tc>
          <w:tcPr>
            <w:tcW w:type="dxa" w:w="4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L1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UX</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No tool dependency graph</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No visibility into which agents use which tools, or which tools depend on which secrets/OAuth providers.</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sz w:val="20"/>
                <w:szCs w:val="20"/>
              </w:rPr>
              <w:t xml:space="preserve">L2</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UX</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sz w:val="20"/>
                <w:szCs w:val="20"/>
              </w:rPr>
              <w:t xml:space="preserve">No bulk tool operations</w:t>
            </w:r>
          </w:p>
        </w:tc>
        <w:tc>
          <w:tcPr>
            <w:tcW w:type="dxa" w:w="4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Can’t bulk archive, bulk delete, or bulk version tools.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L3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Architecture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No tool execution cost tracking</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No per-tool, per-tenant cost attribution for external API calls.</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sz w:val="20"/>
                <w:szCs w:val="20"/>
              </w:rPr>
              <w:t xml:space="preserve">L4</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Architecture</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sz w:val="20"/>
                <w:szCs w:val="20"/>
              </w:rPr>
              <w:t xml:space="preserve">No tool response caching</w:t>
            </w:r>
          </w:p>
        </w:tc>
        <w:tc>
          <w:tcPr>
            <w:tcW w:type="dxa" w:w="4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cacheable hint exists in tool bindings but no cache implementation in the execution pipeline.</w:t>
            </w:r>
          </w:p>
        </w:tc>
      </w:tr>
    </w:tbl>
    <w:p>
      <w:pPr>
        <w:spacing w:after="120"/>
      </w:pPr>
      <w:r>
        <w:t xml:space="preserve"/>
      </w:r>
    </w:p>
    <w:p>
      <w:r>
        <w:br w:type="page"/>
      </w:r>
    </w:p>
    <w:p>
      <w:pPr>
        <w:pStyle w:val="Heading1"/>
      </w:pPr>
      <w:r>
        <w:t xml:space="preserve">Part 4: Recommended Priority Order</w:t>
      </w:r>
    </w:p>
    <w:p>
      <w:pPr>
        <w:spacing w:after="120"/>
      </w:pPr>
      <w:r>
        <w:t xml:space="preserve">A phased approach to addressing the identified gaps, organized into three tiers based on urgency and impact.</w:t>
      </w:r>
    </w:p>
    <w:p>
      <w:pPr>
        <w:pStyle w:val="Heading2"/>
      </w:pPr>
      <w:r>
        <w:t xml:space="preserve">Tier 1: Immediate (Before Next Release)</w:t>
      </w:r>
    </w:p>
    <w:p>
      <w:pPr>
        <w:spacing w:after="120"/>
      </w:pPr>
      <w:r>
        <w:rPr>
          <w:b/>
          <w:bCs/>
        </w:rPr>
        <w:t xml:space="preserve">These items must be resolved before the PR can be considered production-ready.</w:t>
      </w:r>
    </w:p>
    <w:p>
      <w:pPr>
        <w:pStyle w:val="ListParagraph"/>
        <w:numPr>
          <w:ilvl w:val="0"/>
          <w:numId w:val="3"/>
        </w:numPr>
        <w:spacing w:after="80"/>
      </w:pPr>
      <w:r>
        <w:rPr>
          <w:b/>
          <w:bCs/>
          <w:color w:val="D32F2F"/>
        </w:rPr>
        <w:t xml:space="preserve">C1 + C2: </w:t>
      </w:r>
      <w:r>
        <w:t xml:space="preserve">Wire granular RBAC into Studio tool/MCP routes</w:t>
      </w:r>
    </w:p>
    <w:p>
      <w:pPr>
        <w:pStyle w:val="ListParagraph"/>
        <w:numPr>
          <w:ilvl w:val="0"/>
          <w:numId w:val="3"/>
        </w:numPr>
        <w:spacing w:after="80"/>
      </w:pPr>
      <w:r>
        <w:rPr>
          <w:b/>
          <w:bCs/>
          <w:color w:val="D32F2F"/>
        </w:rPr>
        <w:t xml:space="preserve">C4: </w:t>
      </w:r>
      <w:r>
        <w:t xml:space="preserve">Add rate limiting to tool test endpoint</w:t>
      </w:r>
    </w:p>
    <w:p>
      <w:pPr>
        <w:pStyle w:val="ListParagraph"/>
        <w:numPr>
          <w:ilvl w:val="0"/>
          <w:numId w:val="3"/>
        </w:numPr>
        <w:spacing w:after="80"/>
      </w:pPr>
      <w:r>
        <w:rPr>
          <w:b/>
          <w:bCs/>
          <w:color w:val="D32F2F"/>
        </w:rPr>
        <w:t xml:space="preserve">C5: </w:t>
      </w:r>
      <w:r>
        <w:t xml:space="preserve">Propagate full CallerContext to tool executors</w:t>
      </w:r>
    </w:p>
    <w:p>
      <w:pPr>
        <w:pStyle w:val="ListParagraph"/>
        <w:numPr>
          <w:ilvl w:val="0"/>
          <w:numId w:val="3"/>
        </w:numPr>
        <w:spacing w:after="80"/>
      </w:pPr>
      <w:r>
        <w:rPr>
          <w:b/>
          <w:bCs/>
          <w:color w:val="D32F2F"/>
        </w:rPr>
        <w:t xml:space="preserve">C6 + C7: </w:t>
      </w:r>
      <w:r>
        <w:t xml:space="preserve">Implement sandbox runner and Lambda invoker (or clearly document as unsupported)</w:t>
      </w:r>
    </w:p>
    <w:p>
      <w:pPr>
        <w:pStyle w:val="ListParagraph"/>
        <w:numPr>
          <w:ilvl w:val="0"/>
          <w:numId w:val="3"/>
        </w:numPr>
        <w:spacing w:after="80"/>
      </w:pPr>
      <w:r>
        <w:rPr>
          <w:b/>
          <w:bCs/>
          <w:color w:val="D32F2F"/>
        </w:rPr>
        <w:t xml:space="preserve">C8 / H3: </w:t>
      </w:r>
      <w:r>
        <w:t xml:space="preserve">Add readiness signal for DB tool loading (await or queue messages)</w:t>
      </w:r>
    </w:p>
    <w:p>
      <w:pPr>
        <w:pStyle w:val="Heading2"/>
      </w:pPr>
      <w:r>
        <w:t xml:space="preserve">Tier 2: Next Sprint</w:t>
      </w:r>
    </w:p>
    <w:p>
      <w:pPr>
        <w:spacing w:after="120"/>
      </w:pPr>
      <w:r>
        <w:t xml:space="preserve">High-impact architectural improvements that should follow immediately.</w:t>
      </w:r>
    </w:p>
    <w:p>
      <w:pPr>
        <w:pStyle w:val="ListParagraph"/>
        <w:numPr>
          <w:ilvl w:val="0"/>
          <w:numId w:val="3"/>
        </w:numPr>
        <w:spacing w:after="80"/>
      </w:pPr>
      <w:r>
        <w:rPr>
          <w:b/>
          <w:bCs/>
          <w:color w:val="F57C00"/>
        </w:rPr>
        <w:t xml:space="preserve">H1: </w:t>
      </w:r>
      <w:r>
        <w:t xml:space="preserve">Consolidate MCP registries (move SSRF + project verification to shared)</w:t>
      </w:r>
    </w:p>
    <w:p>
      <w:pPr>
        <w:pStyle w:val="ListParagraph"/>
        <w:numPr>
          <w:ilvl w:val="0"/>
          <w:numId w:val="3"/>
        </w:numPr>
        <w:spacing w:after="80"/>
      </w:pPr>
      <w:r>
        <w:rPr>
          <w:b/>
          <w:bCs/>
          <w:color w:val="F57C00"/>
        </w:rPr>
        <w:t xml:space="preserve">H2: </w:t>
      </w:r>
      <w:r>
        <w:t xml:space="preserve">Consolidate SSRF validators into single shared utility</w:t>
      </w:r>
    </w:p>
    <w:p>
      <w:pPr>
        <w:pStyle w:val="ListParagraph"/>
        <w:numPr>
          <w:ilvl w:val="0"/>
          <w:numId w:val="3"/>
        </w:numPr>
        <w:spacing w:after="80"/>
      </w:pPr>
      <w:r>
        <w:rPr>
          <w:b/>
          <w:bCs/>
          <w:color w:val="F57C00"/>
        </w:rPr>
        <w:t xml:space="preserve">H4: </w:t>
      </w:r>
      <w:r>
        <w:t xml:space="preserve">Add proxy support for MCP tool connections</w:t>
      </w:r>
    </w:p>
    <w:p>
      <w:pPr>
        <w:pStyle w:val="ListParagraph"/>
        <w:numPr>
          <w:ilvl w:val="0"/>
          <w:numId w:val="3"/>
        </w:numPr>
        <w:spacing w:after="80"/>
      </w:pPr>
      <w:r>
        <w:rPr>
          <w:b/>
          <w:bCs/>
          <w:color w:val="F57C00"/>
        </w:rPr>
        <w:t xml:space="preserve">C3: </w:t>
      </w:r>
      <w:r>
        <w:t xml:space="preserve">Sanitize tool test responses (strip sensitive headers)</w:t>
      </w:r>
    </w:p>
    <w:p>
      <w:pPr>
        <w:pStyle w:val="ListParagraph"/>
        <w:numPr>
          <w:ilvl w:val="0"/>
          <w:numId w:val="3"/>
        </w:numPr>
        <w:spacing w:after="80"/>
      </w:pPr>
      <w:r>
        <w:rPr>
          <w:b/>
          <w:bCs/>
          <w:color w:val="F57C00"/>
        </w:rPr>
        <w:t xml:space="preserve">H7: </w:t>
      </w:r>
      <w:r>
        <w:t xml:space="preserve">Verify and fix secret placeholder resolution in HTTP executor</w:t>
      </w:r>
    </w:p>
    <w:p>
      <w:pPr>
        <w:pStyle w:val="ListParagraph"/>
        <w:numPr>
          <w:ilvl w:val="0"/>
          <w:numId w:val="3"/>
        </w:numPr>
        <w:spacing w:after="80"/>
      </w:pPr>
      <w:r>
        <w:rPr>
          <w:b/>
          <w:bCs/>
          <w:color w:val="F57C00"/>
        </w:rPr>
        <w:t xml:space="preserve">H8: </w:t>
      </w:r>
      <w:r>
        <w:t xml:space="preserve">Resolve MCP server name-to-id mapping for DSL references</w:t>
      </w:r>
    </w:p>
    <w:p>
      <w:pPr>
        <w:pStyle w:val="Heading2"/>
      </w:pPr>
      <w:r>
        <w:t xml:space="preserve">Tier 3: Backlog</w:t>
      </w:r>
    </w:p>
    <w:p>
      <w:pPr>
        <w:spacing w:after="120"/>
      </w:pPr>
      <w:r>
        <w:t xml:space="preserve">Important but non-urgent items for ongoing improvement.</w:t>
      </w:r>
    </w:p>
    <w:p>
      <w:pPr>
        <w:pStyle w:val="ListParagraph"/>
        <w:numPr>
          <w:ilvl w:val="0"/>
          <w:numId w:val="3"/>
        </w:numPr>
        <w:spacing w:after="80"/>
      </w:pPr>
      <w:r>
        <w:rPr>
          <w:b/>
          <w:bCs/>
          <w:color w:val="666666"/>
        </w:rPr>
        <w:t xml:space="preserve">H5: </w:t>
      </w:r>
      <w:r>
        <w:t xml:space="preserve">Build Studio UI for OAuth provider management</w:t>
      </w:r>
    </w:p>
    <w:p>
      <w:pPr>
        <w:pStyle w:val="ListParagraph"/>
        <w:numPr>
          <w:ilvl w:val="0"/>
          <w:numId w:val="3"/>
        </w:numPr>
        <w:spacing w:after="80"/>
      </w:pPr>
      <w:r>
        <w:rPr>
          <w:b/>
          <w:bCs/>
          <w:color w:val="666666"/>
        </w:rPr>
        <w:t xml:space="preserve">H9 + H10: </w:t>
      </w:r>
      <w:r>
        <w:t xml:space="preserve">Complete OAuth2 user-provider integration and Studio test UI wiring</w:t>
      </w:r>
    </w:p>
    <w:p>
      <w:pPr>
        <w:pStyle w:val="ListParagraph"/>
        <w:numPr>
          <w:ilvl w:val="0"/>
          <w:numId w:val="3"/>
        </w:numPr>
        <w:spacing w:after="80"/>
      </w:pPr>
      <w:r>
        <w:rPr>
          <w:b/>
          <w:bCs/>
          <w:color w:val="666666"/>
        </w:rPr>
        <w:t xml:space="preserve">M1–M4: </w:t>
      </w:r>
      <w:r>
        <w:t xml:space="preserve">UX improvements (confirmation dialogs, pagination, health dashboard, try-before-import)</w:t>
      </w:r>
    </w:p>
    <w:p>
      <w:pPr>
        <w:pStyle w:val="ListParagraph"/>
        <w:numPr>
          <w:ilvl w:val="0"/>
          <w:numId w:val="3"/>
        </w:numPr>
        <w:spacing w:after="80"/>
      </w:pPr>
      <w:r>
        <w:rPr>
          <w:b/>
          <w:bCs/>
          <w:color w:val="666666"/>
        </w:rPr>
        <w:t xml:space="preserve">M6: </w:t>
      </w:r>
      <w:r>
        <w:t xml:space="preserve">Document and consolidate auth middleware patterns</w:t>
      </w:r>
    </w:p>
    <w:p>
      <w:pPr>
        <w:pStyle w:val="ListParagraph"/>
        <w:numPr>
          <w:ilvl w:val="0"/>
          <w:numId w:val="3"/>
        </w:numPr>
        <w:spacing w:after="80"/>
      </w:pPr>
      <w:r>
        <w:rPr>
          <w:b/>
          <w:bCs/>
          <w:color w:val="666666"/>
        </w:rPr>
        <w:t xml:space="preserve">H6: </w:t>
      </w:r>
      <w:r>
        <w:t xml:space="preserve">Unify ToolDefinition types with single source of truth</w:t>
      </w:r>
    </w:p>
    <w:p>
      <w:pPr>
        <w:pStyle w:val="ListParagraph"/>
        <w:numPr>
          <w:ilvl w:val="0"/>
          <w:numId w:val="3"/>
        </w:numPr>
        <w:spacing w:after="80"/>
      </w:pPr>
      <w:r>
        <w:rPr>
          <w:b/>
          <w:bCs/>
          <w:color w:val="666666"/>
        </w:rPr>
        <w:t xml:space="preserve">M8–M12: </w:t>
      </w:r>
      <w:r>
        <w:t xml:space="preserve">Operational improvements (deployment snapshots, schema validation, MCP health monitoring, audit flags, Redis rate limiting)</w:t>
      </w:r>
    </w:p>
    <w:p>
      <w:pPr>
        <w:pStyle w:val="ListParagraph"/>
        <w:numPr>
          <w:ilvl w:val="0"/>
          <w:numId w:val="3"/>
        </w:numPr>
        <w:spacing w:after="80"/>
      </w:pPr>
      <w:r>
        <w:rPr>
          <w:b/>
          <w:bCs/>
          <w:color w:val="666666"/>
        </w:rPr>
        <w:t xml:space="preserve">L1–L4: </w:t>
      </w:r>
      <w:r>
        <w:t xml:space="preserve">Polish items (dependency graph, bulk ops, cost tracking, response caching)</w:t>
      </w:r>
    </w:p>
    <w:p>
      <w:pPr>
        <w:pBdr>
          <w:bottom w:val="single" w:color="1B3A5C" w:sz="4" w:space="1"/>
        </w:pBdr>
        <w:spacing w:before="200" w:after="200"/>
      </w:pPr>
    </w:p>
    <w:p>
      <w:pPr>
        <w:pStyle w:val="Heading2"/>
      </w:pPr>
      <w:r>
        <w:t xml:space="preserve">Gap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1560"/>
        <w:gridCol w:w="1560"/>
        <w:gridCol w:w="234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Severity</w:t>
            </w:r>
          </w:p>
        </w:tc>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Security</w:t>
            </w:r>
          </w:p>
        </w:tc>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Architecture</w:t>
            </w:r>
          </w:p>
        </w:tc>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UX / Ops</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Total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D32F2F"/>
                <w:sz w:val="20"/>
                <w:szCs w:val="20"/>
              </w:rPr>
              <w:t xml:space="preserve">CRITICAL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3</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8</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F57C00"/>
                <w:sz w:val="20"/>
                <w:szCs w:val="20"/>
              </w:rPr>
              <w:t xml:space="preserve">HIGH</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0</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10</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0</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sz w:val="20"/>
                <w:szCs w:val="20"/>
              </w:rPr>
              <w:t xml:space="preserve">10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FBC02D"/>
                <w:sz w:val="20"/>
                <w:szCs w:val="20"/>
              </w:rPr>
              <w:t xml:space="preserve">MEDIUM</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12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12</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388E3C"/>
                <w:sz w:val="20"/>
                <w:szCs w:val="20"/>
              </w:rPr>
              <w:t xml:space="preserve">LOW</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0</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2</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2</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sz w:val="20"/>
                <w:szCs w:val="20"/>
              </w:rPr>
              <w:t xml:space="preserve">4</w:t>
            </w:r>
          </w:p>
        </w:tc>
      </w:tr>
      <w:tr>
        <w:tc>
          <w:tcPr>
            <w:tcW w:type="dxa" w:w="234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vAlign w:val="center"/>
          </w:tcPr>
          <w:p>
            <w:r>
              <w:rPr>
                <w:rFonts w:ascii="Arial" w:cs="Arial" w:eastAsia="Arial" w:hAnsi="Arial"/>
                <w:b/>
                <w:bCs/>
                <w:sz w:val="20"/>
                <w:szCs w:val="20"/>
              </w:rPr>
              <w:t xml:space="preserve">TOTAL</w:t>
            </w:r>
          </w:p>
        </w:tc>
        <w:tc>
          <w:tcPr>
            <w:tcW w:type="dxa" w:w="156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vAlign w:val="center"/>
          </w:tcPr>
          <w:p>
            <w:r>
              <w:rPr>
                <w:rFonts w:ascii="Arial" w:cs="Arial" w:eastAsia="Arial" w:hAnsi="Arial"/>
                <w:b/>
                <w:bCs/>
                <w:sz w:val="20"/>
                <w:szCs w:val="20"/>
              </w:rPr>
              <w:t xml:space="preserve">5</w:t>
            </w:r>
          </w:p>
        </w:tc>
        <w:tc>
          <w:tcPr>
            <w:tcW w:type="dxa" w:w="156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vAlign w:val="center"/>
          </w:tcPr>
          <w:p>
            <w:r>
              <w:rPr>
                <w:rFonts w:ascii="Arial" w:cs="Arial" w:eastAsia="Arial" w:hAnsi="Arial"/>
                <w:b/>
                <w:bCs/>
                <w:sz w:val="20"/>
                <w:szCs w:val="20"/>
              </w:rPr>
              <w:t xml:space="preserve">15</w:t>
            </w:r>
          </w:p>
        </w:tc>
        <w:tc>
          <w:tcPr>
            <w:tcW w:type="dxa" w:w="156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vAlign w:val="center"/>
          </w:tcPr>
          <w:p>
            <w:r>
              <w:rPr>
                <w:rFonts w:ascii="Arial" w:cs="Arial" w:eastAsia="Arial" w:hAnsi="Arial"/>
                <w:b/>
                <w:bCs/>
                <w:sz w:val="20"/>
                <w:szCs w:val="20"/>
              </w:rPr>
              <w:t xml:space="preserve">14</w:t>
            </w:r>
          </w:p>
        </w:tc>
        <w:tc>
          <w:tcPr>
            <w:tcW w:type="dxa" w:w="234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vAlign w:val="center"/>
          </w:tcPr>
          <w:p>
            <w:r>
              <w:rPr>
                <w:rFonts w:ascii="Arial" w:cs="Arial" w:eastAsia="Arial" w:hAnsi="Arial"/>
                <w:b/>
                <w:bCs/>
                <w:sz w:val="20"/>
                <w:szCs w:val="20"/>
              </w:rPr>
              <w:t xml:space="preserve">34</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1"/>
      </w:pBdr>
      <w:tabs>
        <w:tab w:val="right" w:pos="9026"/>
      </w:tabs>
    </w:pPr>
    <w:r>
      <w:rPr>
        <w:i/>
        <w:iCs/>
        <w:color w:val="888888"/>
        <w:sz w:val="18"/>
        <w:szCs w:val="18"/>
      </w:rPr>
      <w:t xml:space="preserve">PR #4: End-to-End Tool Execution Platform</w:t>
    </w:r>
    <w:r>
      <w:rPr>
        <w:i/>
        <w:iCs/>
        <w:color w:val="888888"/>
        <w:sz w:val="18"/>
        <w:szCs w:val="18"/>
      </w:rPr>
      <w:t xml:space="preserve">	Comprehensive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6DA4"/>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D8CC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2026-02-21T06:50:16.569Z</dcterms:created>
  <dcterms:modified xsi:type="dcterms:W3CDTF">2026-02-21T06:50:16.570Z</dcterms:modified>
</cp:coreProperties>
</file>

<file path=docProps/custom.xml><?xml version="1.0" encoding="utf-8"?>
<Properties xmlns="http://schemas.openxmlformats.org/officeDocument/2006/custom-properties" xmlns:vt="http://schemas.openxmlformats.org/officeDocument/2006/docPropsVTypes"/>
</file>