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EBF5A" w14:textId="77777777" w:rsidR="007023EA" w:rsidRPr="007023EA" w:rsidRDefault="007023EA" w:rsidP="007023EA">
      <w:pPr>
        <w:rPr>
          <w:b/>
          <w:bCs/>
          <w:lang w:val="en-US"/>
        </w:rPr>
      </w:pPr>
      <w:r w:rsidRPr="007023EA">
        <w:rPr>
          <w:b/>
          <w:bCs/>
          <w:lang w:val="en-US"/>
        </w:rPr>
        <w:t>1 Introduction</w:t>
      </w:r>
    </w:p>
    <w:p w14:paraId="184FDF60" w14:textId="77777777" w:rsidR="007023EA" w:rsidRPr="007023EA" w:rsidRDefault="007023EA" w:rsidP="007023EA">
      <w:pPr>
        <w:rPr>
          <w:b/>
          <w:bCs/>
          <w:lang w:val="en-US"/>
        </w:rPr>
      </w:pPr>
      <w:r w:rsidRPr="007023EA">
        <w:rPr>
          <w:b/>
          <w:bCs/>
          <w:lang w:val="en-US"/>
        </w:rPr>
        <w:t xml:space="preserve">Fully homomorphic encryption (FHE) lets us run any computation directly on encrypted data. For machine-learning, this means a data owner can obtain predictions without exposing raw features and a model provider can serve predictions without revealing parameters. Recent FHE libraries—SEAL, </w:t>
      </w:r>
      <w:proofErr w:type="spellStart"/>
      <w:r w:rsidRPr="007023EA">
        <w:rPr>
          <w:b/>
          <w:bCs/>
          <w:lang w:val="en-US"/>
        </w:rPr>
        <w:t>TenSEAL</w:t>
      </w:r>
      <w:proofErr w:type="spellEnd"/>
      <w:r w:rsidRPr="007023EA">
        <w:rPr>
          <w:b/>
          <w:bCs/>
          <w:lang w:val="en-US"/>
        </w:rPr>
        <w:t xml:space="preserve">, Concrete-ML—have pushed encrypted inference for </w:t>
      </w:r>
      <w:r w:rsidRPr="007023EA">
        <w:rPr>
          <w:b/>
          <w:bCs/>
          <w:i/>
          <w:iCs/>
          <w:lang w:val="en-US"/>
        </w:rPr>
        <w:t>tabular</w:t>
      </w:r>
      <w:r w:rsidRPr="007023EA">
        <w:rPr>
          <w:b/>
          <w:bCs/>
          <w:lang w:val="en-US"/>
        </w:rPr>
        <w:t xml:space="preserve"> workloads (logistic regression, shallow multilayer </w:t>
      </w:r>
      <w:proofErr w:type="spellStart"/>
      <w:r w:rsidRPr="007023EA">
        <w:rPr>
          <w:b/>
          <w:bCs/>
          <w:lang w:val="en-US"/>
        </w:rPr>
        <w:t>perceptrons</w:t>
      </w:r>
      <w:proofErr w:type="spellEnd"/>
      <w:r w:rsidRPr="007023EA">
        <w:rPr>
          <w:b/>
          <w:bCs/>
          <w:lang w:val="en-US"/>
        </w:rPr>
        <w:t>, even gradient-boosted trees with integer splits) into the sub-second range, making privacy-preserving analytics viable for finance, health and public-sector records.</w:t>
      </w:r>
    </w:p>
    <w:p w14:paraId="4B392D22" w14:textId="77777777" w:rsidR="007023EA" w:rsidRPr="007023EA" w:rsidRDefault="007023EA" w:rsidP="007023EA">
      <w:pPr>
        <w:rPr>
          <w:b/>
          <w:bCs/>
          <w:lang w:val="en-US"/>
        </w:rPr>
      </w:pPr>
      <w:r w:rsidRPr="007023EA">
        <w:rPr>
          <w:b/>
          <w:bCs/>
          <w:lang w:val="en-US"/>
        </w:rPr>
        <w:t xml:space="preserve">In parallel, </w:t>
      </w:r>
      <w:proofErr w:type="spellStart"/>
      <w:r w:rsidRPr="007023EA">
        <w:rPr>
          <w:b/>
          <w:bCs/>
          <w:lang w:val="en-US"/>
        </w:rPr>
        <w:t>organisations</w:t>
      </w:r>
      <w:proofErr w:type="spellEnd"/>
      <w:r w:rsidRPr="007023EA">
        <w:rPr>
          <w:b/>
          <w:bCs/>
          <w:lang w:val="en-US"/>
        </w:rPr>
        <w:t xml:space="preserve"> face growing pressure to deliver </w:t>
      </w:r>
      <w:r w:rsidRPr="007023EA">
        <w:rPr>
          <w:b/>
          <w:bCs/>
          <w:i/>
          <w:iCs/>
          <w:lang w:val="en-US"/>
        </w:rPr>
        <w:t>fair</w:t>
      </w:r>
      <w:r w:rsidRPr="007023EA">
        <w:rPr>
          <w:b/>
          <w:bCs/>
          <w:lang w:val="en-US"/>
        </w:rPr>
        <w:t xml:space="preserve"> models whose errors and benefits are equitably distributed across sensitive groups (e.g. gender in credit, race in recidivism prediction). Most fairness </w:t>
      </w:r>
      <w:proofErr w:type="gramStart"/>
      <w:r w:rsidRPr="007023EA">
        <w:rPr>
          <w:b/>
          <w:bCs/>
          <w:lang w:val="en-US"/>
        </w:rPr>
        <w:t>tool-chains</w:t>
      </w:r>
      <w:proofErr w:type="gramEnd"/>
      <w:r w:rsidRPr="007023EA">
        <w:rPr>
          <w:b/>
          <w:bCs/>
          <w:lang w:val="en-US"/>
        </w:rPr>
        <w:t>, however, assume plaintext access to (</w:t>
      </w:r>
      <w:proofErr w:type="spellStart"/>
      <w:r w:rsidRPr="007023EA">
        <w:rPr>
          <w:b/>
          <w:bCs/>
          <w:lang w:val="en-US"/>
        </w:rPr>
        <w:t>i</w:t>
      </w:r>
      <w:proofErr w:type="spellEnd"/>
      <w:r w:rsidRPr="007023EA">
        <w:rPr>
          <w:b/>
          <w:bCs/>
          <w:lang w:val="en-US"/>
        </w:rPr>
        <w:t xml:space="preserve">) the protected attribute for imposing constraints and (ii) model outputs for auditing. Once FHE is introduced those assumptions can </w:t>
      </w:r>
      <w:proofErr w:type="gramStart"/>
      <w:r w:rsidRPr="007023EA">
        <w:rPr>
          <w:b/>
          <w:bCs/>
          <w:lang w:val="en-US"/>
        </w:rPr>
        <w:t>fail:</w:t>
      </w:r>
      <w:proofErr w:type="gramEnd"/>
      <w:r w:rsidRPr="007023EA">
        <w:rPr>
          <w:b/>
          <w:bCs/>
          <w:lang w:val="en-US"/>
        </w:rPr>
        <w:t xml:space="preserve"> sensitive columns may remain hidden, and ciphertext scores cannot be inspected without an additional secure protocol. Whether homomorphic encryption helps or hurts distributive fairness therefore remains an open </w:t>
      </w:r>
      <w:proofErr w:type="gramStart"/>
      <w:r w:rsidRPr="007023EA">
        <w:rPr>
          <w:b/>
          <w:bCs/>
          <w:lang w:val="en-US"/>
        </w:rPr>
        <w:t>question—</w:t>
      </w:r>
      <w:proofErr w:type="gramEnd"/>
      <w:r w:rsidRPr="007023EA">
        <w:rPr>
          <w:b/>
          <w:bCs/>
          <w:lang w:val="en-US"/>
        </w:rPr>
        <w:t xml:space="preserve">especially for the </w:t>
      </w:r>
      <w:r w:rsidRPr="007023EA">
        <w:rPr>
          <w:b/>
          <w:bCs/>
          <w:i/>
          <w:iCs/>
          <w:lang w:val="en-US"/>
        </w:rPr>
        <w:t>tabular</w:t>
      </w:r>
      <w:r w:rsidRPr="007023EA">
        <w:rPr>
          <w:b/>
          <w:bCs/>
          <w:lang w:val="en-US"/>
        </w:rPr>
        <w:t xml:space="preserve"> datasets that dominate real-world fairness deployments.</w:t>
      </w:r>
    </w:p>
    <w:p w14:paraId="6B854139" w14:textId="77777777" w:rsidR="007023EA" w:rsidRPr="007023EA" w:rsidRDefault="007023EA" w:rsidP="007023EA">
      <w:pPr>
        <w:rPr>
          <w:b/>
          <w:bCs/>
          <w:lang w:val="en-US"/>
        </w:rPr>
      </w:pPr>
      <w:r w:rsidRPr="007023EA">
        <w:rPr>
          <w:b/>
          <w:bCs/>
          <w:lang w:val="en-US"/>
        </w:rPr>
        <w:t>This paper gives the first systematic study of that tension.</w:t>
      </w:r>
    </w:p>
    <w:p w14:paraId="722419AC" w14:textId="77777777" w:rsidR="007023EA" w:rsidRPr="007023EA" w:rsidRDefault="007023EA" w:rsidP="007023EA">
      <w:pPr>
        <w:rPr>
          <w:b/>
          <w:bCs/>
        </w:rPr>
      </w:pPr>
      <w:proofErr w:type="spellStart"/>
      <w:r w:rsidRPr="007023EA">
        <w:rPr>
          <w:b/>
          <w:bCs/>
        </w:rPr>
        <w:t>Our</w:t>
      </w:r>
      <w:proofErr w:type="spellEnd"/>
      <w:r w:rsidRPr="007023EA">
        <w:rPr>
          <w:b/>
          <w:bCs/>
        </w:rPr>
        <w:t xml:space="preserve"> </w:t>
      </w:r>
      <w:proofErr w:type="spellStart"/>
      <w:r w:rsidRPr="007023EA">
        <w:rPr>
          <w:b/>
          <w:bCs/>
        </w:rPr>
        <w:t>contributions</w:t>
      </w:r>
      <w:proofErr w:type="spellEnd"/>
      <w:r w:rsidRPr="007023EA">
        <w:rPr>
          <w:b/>
          <w:bCs/>
        </w:rPr>
        <w:t>:</w:t>
      </w:r>
    </w:p>
    <w:p w14:paraId="6DF9BFF6" w14:textId="77777777" w:rsidR="007023EA" w:rsidRPr="007023EA" w:rsidRDefault="007023EA" w:rsidP="007023EA">
      <w:pPr>
        <w:numPr>
          <w:ilvl w:val="0"/>
          <w:numId w:val="8"/>
        </w:numPr>
        <w:rPr>
          <w:b/>
          <w:bCs/>
          <w:lang w:val="en-US"/>
        </w:rPr>
      </w:pPr>
      <w:r w:rsidRPr="007023EA">
        <w:rPr>
          <w:b/>
          <w:bCs/>
          <w:lang w:val="en-US"/>
        </w:rPr>
        <w:t>FHE-ready pipeline for tabular deep nets. We distil engineering tricks from recent CKKS-based systems into a recipe—</w:t>
      </w:r>
      <w:proofErr w:type="spellStart"/>
      <w:r w:rsidRPr="007023EA">
        <w:rPr>
          <w:b/>
          <w:bCs/>
          <w:lang w:val="en-US"/>
        </w:rPr>
        <w:t>vectorised</w:t>
      </w:r>
      <w:proofErr w:type="spellEnd"/>
      <w:r w:rsidRPr="007023EA">
        <w:rPr>
          <w:b/>
          <w:bCs/>
          <w:lang w:val="en-US"/>
        </w:rPr>
        <w:t xml:space="preserve"> ciphertext packing, plaintext weight matrices, low-degree polynomial activations and noise-budget planning—that lets a two-hidden-layer MLP run completely in ciphertext with negligible accuracy loss on Adult, COMPAS and Law-School datasets.</w:t>
      </w:r>
    </w:p>
    <w:p w14:paraId="21463089" w14:textId="77777777" w:rsidR="007023EA" w:rsidRPr="007023EA" w:rsidRDefault="007023EA" w:rsidP="007023EA">
      <w:pPr>
        <w:numPr>
          <w:ilvl w:val="0"/>
          <w:numId w:val="8"/>
        </w:numPr>
        <w:rPr>
          <w:b/>
          <w:bCs/>
          <w:lang w:val="en-US"/>
        </w:rPr>
      </w:pPr>
      <w:r w:rsidRPr="007023EA">
        <w:rPr>
          <w:b/>
          <w:bCs/>
          <w:lang w:val="en-US"/>
        </w:rPr>
        <w:t>Fairness-under-encryption analysis. We classify which fairness interventions survive the restricted gate set of leveled HE (add/</w:t>
      </w:r>
      <w:proofErr w:type="spellStart"/>
      <w:r w:rsidRPr="007023EA">
        <w:rPr>
          <w:b/>
          <w:bCs/>
          <w:lang w:val="en-US"/>
        </w:rPr>
        <w:t>mul</w:t>
      </w:r>
      <w:proofErr w:type="spellEnd"/>
      <w:r w:rsidRPr="007023EA">
        <w:rPr>
          <w:b/>
          <w:bCs/>
          <w:lang w:val="en-US"/>
        </w:rPr>
        <w:t xml:space="preserve">/rotate), show how encrypted aggregation can </w:t>
      </w:r>
      <w:r w:rsidRPr="007023EA">
        <w:rPr>
          <w:b/>
          <w:bCs/>
          <w:i/>
          <w:iCs/>
          <w:lang w:val="en-US"/>
        </w:rPr>
        <w:t>enable</w:t>
      </w:r>
      <w:r w:rsidRPr="007023EA">
        <w:rPr>
          <w:b/>
          <w:bCs/>
          <w:lang w:val="en-US"/>
        </w:rPr>
        <w:t xml:space="preserve"> the use of sensitive attributes that would otherwise be withheld, and when ciphertext serving may </w:t>
      </w:r>
      <w:r w:rsidRPr="007023EA">
        <w:rPr>
          <w:b/>
          <w:bCs/>
          <w:i/>
          <w:iCs/>
          <w:lang w:val="en-US"/>
        </w:rPr>
        <w:t>blind</w:t>
      </w:r>
      <w:r w:rsidRPr="007023EA">
        <w:rPr>
          <w:b/>
          <w:bCs/>
          <w:lang w:val="en-US"/>
        </w:rPr>
        <w:t xml:space="preserve"> external auditors.</w:t>
      </w:r>
    </w:p>
    <w:p w14:paraId="1CC0CE77" w14:textId="77777777" w:rsidR="007023EA" w:rsidRPr="007023EA" w:rsidRDefault="007023EA" w:rsidP="007023EA">
      <w:pPr>
        <w:numPr>
          <w:ilvl w:val="0"/>
          <w:numId w:val="8"/>
        </w:numPr>
        <w:rPr>
          <w:b/>
          <w:bCs/>
          <w:lang w:val="en-US"/>
        </w:rPr>
      </w:pPr>
      <w:r w:rsidRPr="007023EA">
        <w:rPr>
          <w:b/>
          <w:bCs/>
          <w:lang w:val="en-US"/>
        </w:rPr>
        <w:t>Subgroup-specific privacy–fairness audit. Extending recent low-FPR membership-inference tests, we introduce a per-group encrypted audit that simultaneously measures (</w:t>
      </w:r>
      <w:proofErr w:type="spellStart"/>
      <w:r w:rsidRPr="007023EA">
        <w:rPr>
          <w:b/>
          <w:bCs/>
          <w:lang w:val="en-US"/>
        </w:rPr>
        <w:t>i</w:t>
      </w:r>
      <w:proofErr w:type="spellEnd"/>
      <w:r w:rsidRPr="007023EA">
        <w:rPr>
          <w:b/>
          <w:bCs/>
          <w:lang w:val="en-US"/>
        </w:rPr>
        <w:t xml:space="preserve">) worst-case membership leakage at 0 % FPR and (ii) standard demographic-parity / equal-opportunity gaps. Across Adult, COMPAS, Credit-Card and Law-School we find that for every dataset there </w:t>
      </w:r>
      <w:r w:rsidRPr="007023EA">
        <w:rPr>
          <w:b/>
          <w:bCs/>
          <w:lang w:val="en-US"/>
        </w:rPr>
        <w:lastRenderedPageBreak/>
        <w:t xml:space="preserve">exists at least one fairness intervention whose </w:t>
      </w:r>
      <w:r w:rsidRPr="007023EA">
        <w:rPr>
          <w:b/>
          <w:bCs/>
          <w:i/>
          <w:iCs/>
          <w:lang w:val="en-US"/>
        </w:rPr>
        <w:t>encrypted</w:t>
      </w:r>
      <w:r w:rsidRPr="007023EA">
        <w:rPr>
          <w:b/>
          <w:bCs/>
          <w:lang w:val="en-US"/>
        </w:rPr>
        <w:t xml:space="preserve"> model offers equal-or-better subgroup privacy than the plaintext baseline.</w:t>
      </w:r>
    </w:p>
    <w:p w14:paraId="2BBD64C7" w14:textId="77777777" w:rsidR="007023EA" w:rsidRPr="007023EA" w:rsidRDefault="007023EA" w:rsidP="007023EA">
      <w:pPr>
        <w:rPr>
          <w:b/>
          <w:bCs/>
        </w:rPr>
      </w:pPr>
      <w:r w:rsidRPr="007023EA">
        <w:rPr>
          <w:b/>
          <w:bCs/>
        </w:rPr>
        <w:pict w14:anchorId="3497087E">
          <v:rect id="_x0000_i1087" style="width:0;height:1.5pt" o:hralign="center" o:hrstd="t" o:hr="t" fillcolor="#a0a0a0" stroked="f"/>
        </w:pict>
      </w:r>
    </w:p>
    <w:p w14:paraId="1BCFECF4" w14:textId="77777777" w:rsidR="007023EA" w:rsidRPr="007023EA" w:rsidRDefault="007023EA" w:rsidP="007023EA">
      <w:pPr>
        <w:rPr>
          <w:b/>
          <w:bCs/>
          <w:lang w:val="en-US"/>
        </w:rPr>
      </w:pPr>
      <w:r w:rsidRPr="007023EA">
        <w:rPr>
          <w:b/>
          <w:bCs/>
          <w:lang w:val="en-US"/>
        </w:rPr>
        <w:t>2 Related Work</w:t>
      </w:r>
    </w:p>
    <w:p w14:paraId="12C20B22" w14:textId="77777777" w:rsidR="007023EA" w:rsidRPr="007023EA" w:rsidRDefault="007023EA" w:rsidP="007023EA">
      <w:pPr>
        <w:rPr>
          <w:b/>
          <w:bCs/>
          <w:lang w:val="en-US"/>
        </w:rPr>
      </w:pPr>
      <w:r w:rsidRPr="007023EA">
        <w:rPr>
          <w:b/>
          <w:bCs/>
          <w:lang w:val="en-US"/>
        </w:rPr>
        <w:t xml:space="preserve">FHE for tabular ML. CKKS [Cheon 17] introduced approximate arithmetic that packs thousands of doubles per ciphertext and supports SIMD-style </w:t>
      </w:r>
      <w:proofErr w:type="gramStart"/>
      <w:r w:rsidRPr="007023EA">
        <w:rPr>
          <w:b/>
          <w:bCs/>
          <w:lang w:val="en-US"/>
        </w:rPr>
        <w:t>adds</w:t>
      </w:r>
      <w:proofErr w:type="gramEnd"/>
      <w:r w:rsidRPr="007023EA">
        <w:rPr>
          <w:b/>
          <w:bCs/>
          <w:lang w:val="en-US"/>
        </w:rPr>
        <w:t xml:space="preserve">, multiplies and rotations. Concrete-ML (2023) and </w:t>
      </w:r>
      <w:proofErr w:type="spellStart"/>
      <w:r w:rsidRPr="007023EA">
        <w:rPr>
          <w:b/>
          <w:bCs/>
          <w:lang w:val="en-US"/>
        </w:rPr>
        <w:t>TenSEAL</w:t>
      </w:r>
      <w:proofErr w:type="spellEnd"/>
      <w:r w:rsidRPr="007023EA">
        <w:rPr>
          <w:b/>
          <w:bCs/>
          <w:lang w:val="en-US"/>
        </w:rPr>
        <w:t xml:space="preserve"> (Benaissa 21) showed sub-second encrypted inference for logistic regression and small MLPs by (1) keeping model weights plaintext, (2) approximating ReLU/Sigmoid with low-degree Chebyshev polynomials, and (3) aggressively re-scaling to stay within the noise budget. Some work accelerates tree models via integer-arithmetic BFV/TFHE variants, but none has asked how such pipelines interact with </w:t>
      </w:r>
      <w:r w:rsidRPr="007023EA">
        <w:rPr>
          <w:b/>
          <w:bCs/>
          <w:i/>
          <w:iCs/>
          <w:lang w:val="en-US"/>
        </w:rPr>
        <w:t>fairness</w:t>
      </w:r>
      <w:r w:rsidRPr="007023EA">
        <w:rPr>
          <w:b/>
          <w:bCs/>
          <w:lang w:val="en-US"/>
        </w:rPr>
        <w:t>.</w:t>
      </w:r>
    </w:p>
    <w:p w14:paraId="3931DD8F" w14:textId="77777777" w:rsidR="007023EA" w:rsidRPr="007023EA" w:rsidRDefault="007023EA" w:rsidP="007023EA">
      <w:pPr>
        <w:rPr>
          <w:b/>
          <w:bCs/>
          <w:lang w:val="en-US"/>
        </w:rPr>
      </w:pPr>
      <w:r w:rsidRPr="007023EA">
        <w:rPr>
          <w:b/>
          <w:bCs/>
          <w:lang w:val="en-US"/>
        </w:rPr>
        <w:t xml:space="preserve">Algorithmic fairness on tabular data. Classic debiasing methods—re-weighting (Kamiran &amp; </w:t>
      </w:r>
      <w:proofErr w:type="spellStart"/>
      <w:r w:rsidRPr="007023EA">
        <w:rPr>
          <w:b/>
          <w:bCs/>
          <w:lang w:val="en-US"/>
        </w:rPr>
        <w:t>Calders</w:t>
      </w:r>
      <w:proofErr w:type="spellEnd"/>
      <w:r w:rsidRPr="007023EA">
        <w:rPr>
          <w:b/>
          <w:bCs/>
          <w:lang w:val="en-US"/>
        </w:rPr>
        <w:t>), adversarial debiasing (Zhang 18), constraint-based reductions (Agarwal 18), post-hoc ROC adjustment (Hardt 16)—are almost exclusively evaluated on tabular datasets (Adult, German Credit, COMPAS, Law-School). They rely on plaintext protected attributes and outputs for training and auditing. The impact of encrypting either channel has not been evaluated.</w:t>
      </w:r>
    </w:p>
    <w:p w14:paraId="490D985B" w14:textId="77777777" w:rsidR="007023EA" w:rsidRPr="007023EA" w:rsidRDefault="007023EA" w:rsidP="007023EA">
      <w:pPr>
        <w:rPr>
          <w:b/>
          <w:bCs/>
          <w:lang w:val="en-US"/>
        </w:rPr>
      </w:pPr>
      <w:r w:rsidRPr="007023EA">
        <w:rPr>
          <w:b/>
          <w:bCs/>
          <w:lang w:val="en-US"/>
        </w:rPr>
        <w:t>Membership-inference audits. Early attacks used global loss thresholds (Yeom 18) or subgroup-specific thresholds (Chang &amp; Shokri 20); modern attacks (</w:t>
      </w:r>
      <w:proofErr w:type="spellStart"/>
      <w:r w:rsidRPr="007023EA">
        <w:rPr>
          <w:b/>
          <w:bCs/>
          <w:lang w:val="en-US"/>
        </w:rPr>
        <w:t>LiRA</w:t>
      </w:r>
      <w:proofErr w:type="spellEnd"/>
      <w:r w:rsidRPr="007023EA">
        <w:rPr>
          <w:b/>
          <w:bCs/>
          <w:lang w:val="en-US"/>
        </w:rPr>
        <w:t xml:space="preserve">, Carlini 22) fit </w:t>
      </w:r>
      <w:r w:rsidRPr="007023EA">
        <w:rPr>
          <w:b/>
          <w:bCs/>
          <w:i/>
          <w:iCs/>
          <w:lang w:val="en-US"/>
        </w:rPr>
        <w:t>example-wise</w:t>
      </w:r>
      <w:r w:rsidRPr="007023EA">
        <w:rPr>
          <w:b/>
          <w:bCs/>
          <w:lang w:val="en-US"/>
        </w:rPr>
        <w:t xml:space="preserve"> IN vs OUT loss distributions with Gaussian likelihood-ratio tests, achieving &gt;10 % TPR at 0.1 % FPR on well-</w:t>
      </w:r>
      <w:proofErr w:type="spellStart"/>
      <w:r w:rsidRPr="007023EA">
        <w:rPr>
          <w:b/>
          <w:bCs/>
          <w:lang w:val="en-US"/>
        </w:rPr>
        <w:t>generalising</w:t>
      </w:r>
      <w:proofErr w:type="spellEnd"/>
      <w:r w:rsidRPr="007023EA">
        <w:rPr>
          <w:b/>
          <w:bCs/>
          <w:lang w:val="en-US"/>
        </w:rPr>
        <w:t xml:space="preserve"> tabular models. No prior study has applied such low-FPR audits under FHE, nor combined them with fairness interventions.</w:t>
      </w:r>
    </w:p>
    <w:p w14:paraId="299AB9FF" w14:textId="77777777" w:rsidR="007023EA" w:rsidRPr="007023EA" w:rsidRDefault="007023EA" w:rsidP="007023EA">
      <w:pPr>
        <w:rPr>
          <w:b/>
          <w:bCs/>
        </w:rPr>
      </w:pPr>
      <w:r w:rsidRPr="007023EA">
        <w:rPr>
          <w:b/>
          <w:bCs/>
        </w:rPr>
        <w:pict w14:anchorId="212D9A8C">
          <v:rect id="_x0000_i1088" style="width:0;height:1.5pt" o:hralign="center" o:hrstd="t" o:hr="t" fillcolor="#a0a0a0" stroked="f"/>
        </w:pict>
      </w:r>
    </w:p>
    <w:p w14:paraId="2FDE246F" w14:textId="77777777" w:rsidR="007023EA" w:rsidRPr="007023EA" w:rsidRDefault="007023EA" w:rsidP="007023EA">
      <w:pPr>
        <w:rPr>
          <w:b/>
          <w:bCs/>
          <w:lang w:val="en-US"/>
        </w:rPr>
      </w:pPr>
      <w:r w:rsidRPr="007023EA">
        <w:rPr>
          <w:b/>
          <w:bCs/>
          <w:lang w:val="en-US"/>
        </w:rPr>
        <w:t>Novelty and Gap</w:t>
      </w:r>
    </w:p>
    <w:p w14:paraId="78288406" w14:textId="77777777" w:rsidR="007023EA" w:rsidRPr="007023EA" w:rsidRDefault="007023EA" w:rsidP="007023EA">
      <w:pPr>
        <w:rPr>
          <w:b/>
          <w:bCs/>
          <w:lang w:val="en-US"/>
        </w:rPr>
      </w:pPr>
      <w:r w:rsidRPr="007023EA">
        <w:rPr>
          <w:b/>
          <w:bCs/>
          <w:lang w:val="en-US"/>
        </w:rPr>
        <w:t xml:space="preserve">Previous FHE-ML research </w:t>
      </w:r>
      <w:proofErr w:type="spellStart"/>
      <w:r w:rsidRPr="007023EA">
        <w:rPr>
          <w:b/>
          <w:bCs/>
          <w:lang w:val="en-US"/>
        </w:rPr>
        <w:t>optimised</w:t>
      </w:r>
      <w:proofErr w:type="spellEnd"/>
      <w:r w:rsidRPr="007023EA">
        <w:rPr>
          <w:b/>
          <w:bCs/>
          <w:lang w:val="en-US"/>
        </w:rPr>
        <w:t xml:space="preserve"> accuracy and latency; fairness research ignored encrypted serving; and privacy audits rarely intersected either. We close this gap by (</w:t>
      </w:r>
      <w:proofErr w:type="spellStart"/>
      <w:r w:rsidRPr="007023EA">
        <w:rPr>
          <w:b/>
          <w:bCs/>
          <w:lang w:val="en-US"/>
        </w:rPr>
        <w:t>i</w:t>
      </w:r>
      <w:proofErr w:type="spellEnd"/>
      <w:r w:rsidRPr="007023EA">
        <w:rPr>
          <w:b/>
          <w:bCs/>
          <w:lang w:val="en-US"/>
        </w:rPr>
        <w:t xml:space="preserve">) </w:t>
      </w:r>
      <w:proofErr w:type="spellStart"/>
      <w:r w:rsidRPr="007023EA">
        <w:rPr>
          <w:b/>
          <w:bCs/>
          <w:lang w:val="en-US"/>
        </w:rPr>
        <w:t>operationalising</w:t>
      </w:r>
      <w:proofErr w:type="spellEnd"/>
      <w:r w:rsidRPr="007023EA">
        <w:rPr>
          <w:b/>
          <w:bCs/>
          <w:lang w:val="en-US"/>
        </w:rPr>
        <w:t xml:space="preserve"> FHE inference for the tabular networks used in fairness literature, (ii) mapping which fairness mechanisms remain implementable under the CKKS gate set, and (iii) quantifying—via state-of-the-art low-FPR audits—how each intervention reshapes subgroup privacy risk when the model is served under full homomorphic encryption.</w:t>
      </w:r>
    </w:p>
    <w:p w14:paraId="2A63CE5B" w14:textId="77777777" w:rsidR="005620A8" w:rsidRDefault="005620A8" w:rsidP="007023EA">
      <w:pPr>
        <w:rPr>
          <w:lang w:val="en-US"/>
        </w:rPr>
      </w:pPr>
    </w:p>
    <w:p w14:paraId="08967C97" w14:textId="77777777" w:rsidR="00420343" w:rsidRPr="00420343" w:rsidRDefault="00420343" w:rsidP="00420343">
      <w:pPr>
        <w:rPr>
          <w:b/>
          <w:bCs/>
          <w:lang w:val="en-US"/>
        </w:rPr>
      </w:pPr>
      <w:r w:rsidRPr="00420343">
        <w:rPr>
          <w:b/>
          <w:bCs/>
          <w:lang w:val="en-US"/>
        </w:rPr>
        <w:t>4</w:t>
      </w:r>
      <w:r w:rsidRPr="00420343">
        <w:rPr>
          <w:b/>
          <w:bCs/>
        </w:rPr>
        <w:t> </w:t>
      </w:r>
      <w:r w:rsidRPr="00420343">
        <w:rPr>
          <w:b/>
          <w:bCs/>
          <w:lang w:val="en-US"/>
        </w:rPr>
        <w:t>Experiments &amp; Methodology</w:t>
      </w:r>
    </w:p>
    <w:p w14:paraId="10366D72" w14:textId="77777777" w:rsidR="00420343" w:rsidRPr="00420343" w:rsidRDefault="00420343" w:rsidP="00420343">
      <w:pPr>
        <w:rPr>
          <w:lang w:val="en-US"/>
        </w:rPr>
      </w:pPr>
      <w:r w:rsidRPr="00420343">
        <w:rPr>
          <w:lang w:val="en-US"/>
        </w:rPr>
        <w:lastRenderedPageBreak/>
        <w:t xml:space="preserve">This section details </w:t>
      </w:r>
      <w:r w:rsidRPr="00420343">
        <w:rPr>
          <w:b/>
          <w:bCs/>
          <w:lang w:val="en-US"/>
        </w:rPr>
        <w:t>how</w:t>
      </w:r>
      <w:r w:rsidRPr="00420343">
        <w:rPr>
          <w:lang w:val="en-US"/>
        </w:rPr>
        <w:t xml:space="preserve"> we test whether classic </w:t>
      </w:r>
      <w:r w:rsidRPr="00420343">
        <w:rPr>
          <w:i/>
          <w:iCs/>
          <w:lang w:val="en-US"/>
        </w:rPr>
        <w:t>tabular</w:t>
      </w:r>
      <w:r w:rsidRPr="00420343">
        <w:rPr>
          <w:lang w:val="en-US"/>
        </w:rPr>
        <w:t xml:space="preserve"> fairness pipelines can be deployed under homomorphic encryption (HE) </w:t>
      </w:r>
      <w:r w:rsidRPr="00420343">
        <w:rPr>
          <w:b/>
          <w:bCs/>
          <w:lang w:val="en-US"/>
        </w:rPr>
        <w:t>without losing accuracy, fairness, or privacy</w:t>
      </w:r>
      <w:r w:rsidRPr="00420343">
        <w:rPr>
          <w:lang w:val="en-US"/>
        </w:rPr>
        <w:t>.</w:t>
      </w:r>
    </w:p>
    <w:p w14:paraId="131177EC" w14:textId="77777777" w:rsidR="00420343" w:rsidRPr="00420343" w:rsidRDefault="00420343" w:rsidP="00420343">
      <w:r w:rsidRPr="00420343">
        <w:pict w14:anchorId="363E8547">
          <v:rect id="_x0000_i1127" style="width:0;height:1.5pt" o:hralign="center" o:hrstd="t" o:hr="t" fillcolor="#a0a0a0" stroked="f"/>
        </w:pict>
      </w:r>
    </w:p>
    <w:p w14:paraId="2032537B" w14:textId="77777777" w:rsidR="00420343" w:rsidRPr="00420343" w:rsidRDefault="00420343" w:rsidP="00420343">
      <w:pPr>
        <w:rPr>
          <w:b/>
          <w:bCs/>
          <w:lang w:val="en-US"/>
        </w:rPr>
      </w:pPr>
      <w:r w:rsidRPr="00420343">
        <w:rPr>
          <w:b/>
          <w:bCs/>
          <w:lang w:val="en-US"/>
        </w:rPr>
        <w:t>4.1</w:t>
      </w:r>
      <w:r w:rsidRPr="00420343">
        <w:rPr>
          <w:b/>
          <w:bCs/>
        </w:rPr>
        <w:t> </w:t>
      </w:r>
      <w:r w:rsidRPr="00420343">
        <w:rPr>
          <w:b/>
          <w:bCs/>
          <w:lang w:val="en-US"/>
        </w:rPr>
        <w:t>Research questions</w:t>
      </w:r>
    </w:p>
    <w:p w14:paraId="45B958BF" w14:textId="77777777" w:rsidR="00420343" w:rsidRPr="00420343" w:rsidRDefault="00420343" w:rsidP="00420343">
      <w:pPr>
        <w:rPr>
          <w:lang w:val="en-US"/>
        </w:rPr>
      </w:pPr>
      <w:r w:rsidRPr="00420343">
        <w:rPr>
          <w:lang w:val="en-US"/>
        </w:rPr>
        <w:t>We translate the overall goal into five concrete questions (RQ1-RQ5).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5634"/>
        <w:gridCol w:w="2870"/>
      </w:tblGrid>
      <w:tr w:rsidR="00420343" w:rsidRPr="00420343" w14:paraId="0D5A64CC" w14:textId="77777777" w:rsidTr="004203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E60AA" w14:textId="77777777" w:rsidR="00420343" w:rsidRPr="00420343" w:rsidRDefault="00420343" w:rsidP="00420343">
            <w:pPr>
              <w:rPr>
                <w:b/>
                <w:bCs/>
              </w:rPr>
            </w:pPr>
            <w:r w:rsidRPr="00420343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B1F4C52" w14:textId="77777777" w:rsidR="00420343" w:rsidRPr="00420343" w:rsidRDefault="00420343" w:rsidP="00420343">
            <w:pPr>
              <w:rPr>
                <w:b/>
                <w:bCs/>
              </w:rPr>
            </w:pPr>
            <w:r w:rsidRPr="00420343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5ABFDBA6" w14:textId="77777777" w:rsidR="00420343" w:rsidRPr="00420343" w:rsidRDefault="00420343" w:rsidP="00420343">
            <w:pPr>
              <w:rPr>
                <w:b/>
                <w:bCs/>
              </w:rPr>
            </w:pPr>
            <w:proofErr w:type="spellStart"/>
            <w:r w:rsidRPr="00420343">
              <w:rPr>
                <w:b/>
                <w:bCs/>
              </w:rPr>
              <w:t>Key</w:t>
            </w:r>
            <w:proofErr w:type="spellEnd"/>
            <w:r w:rsidRPr="00420343">
              <w:rPr>
                <w:b/>
                <w:bCs/>
              </w:rPr>
              <w:t xml:space="preserve"> </w:t>
            </w:r>
            <w:proofErr w:type="spellStart"/>
            <w:r w:rsidRPr="00420343">
              <w:rPr>
                <w:b/>
                <w:bCs/>
              </w:rPr>
              <w:t>metric</w:t>
            </w:r>
            <w:proofErr w:type="spellEnd"/>
          </w:p>
        </w:tc>
      </w:tr>
      <w:tr w:rsidR="00420343" w:rsidRPr="00420343" w14:paraId="176E5811" w14:textId="77777777" w:rsidTr="0042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99264" w14:textId="77777777" w:rsidR="00420343" w:rsidRPr="00420343" w:rsidRDefault="00420343" w:rsidP="00420343">
            <w:r w:rsidRPr="00420343">
              <w:t>RQ1</w:t>
            </w:r>
          </w:p>
        </w:tc>
        <w:tc>
          <w:tcPr>
            <w:tcW w:w="0" w:type="auto"/>
            <w:vAlign w:val="center"/>
            <w:hideMark/>
          </w:tcPr>
          <w:p w14:paraId="38D1ED94" w14:textId="77777777" w:rsidR="00420343" w:rsidRPr="00420343" w:rsidRDefault="00420343" w:rsidP="00420343">
            <w:pPr>
              <w:rPr>
                <w:lang w:val="en-US"/>
              </w:rPr>
            </w:pPr>
            <w:r w:rsidRPr="00420343">
              <w:rPr>
                <w:b/>
                <w:bCs/>
                <w:lang w:val="en-US"/>
              </w:rPr>
              <w:t>Encrypted inference latency</w:t>
            </w:r>
            <w:r w:rsidRPr="00420343">
              <w:rPr>
                <w:lang w:val="en-US"/>
              </w:rPr>
              <w:t xml:space="preserve"> – is CKKS inference fast enough for real-time use after the model is trained in the clear?</w:t>
            </w:r>
          </w:p>
        </w:tc>
        <w:tc>
          <w:tcPr>
            <w:tcW w:w="0" w:type="auto"/>
            <w:vAlign w:val="center"/>
            <w:hideMark/>
          </w:tcPr>
          <w:p w14:paraId="68942C24" w14:textId="77777777" w:rsidR="00420343" w:rsidRPr="00420343" w:rsidRDefault="00420343" w:rsidP="00420343">
            <w:pPr>
              <w:rPr>
                <w:lang w:val="en-US"/>
              </w:rPr>
            </w:pPr>
            <w:r w:rsidRPr="00420343">
              <w:rPr>
                <w:lang w:val="en-US"/>
              </w:rPr>
              <w:t>Wall-clock time, throughput, ciphertext footprint</w:t>
            </w:r>
          </w:p>
        </w:tc>
      </w:tr>
      <w:tr w:rsidR="00420343" w:rsidRPr="00420343" w14:paraId="0853F7D6" w14:textId="77777777" w:rsidTr="0042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548BB" w14:textId="77777777" w:rsidR="00420343" w:rsidRPr="00420343" w:rsidRDefault="00420343" w:rsidP="00420343">
            <w:r w:rsidRPr="00420343">
              <w:t>RQ2</w:t>
            </w:r>
          </w:p>
        </w:tc>
        <w:tc>
          <w:tcPr>
            <w:tcW w:w="0" w:type="auto"/>
            <w:vAlign w:val="center"/>
            <w:hideMark/>
          </w:tcPr>
          <w:p w14:paraId="3A3435DB" w14:textId="77777777" w:rsidR="00420343" w:rsidRPr="00420343" w:rsidRDefault="00420343" w:rsidP="00420343">
            <w:pPr>
              <w:rPr>
                <w:lang w:val="en-US"/>
              </w:rPr>
            </w:pPr>
            <w:r w:rsidRPr="00420343">
              <w:rPr>
                <w:b/>
                <w:bCs/>
                <w:lang w:val="en-US"/>
              </w:rPr>
              <w:t>Fairness retention</w:t>
            </w:r>
            <w:r w:rsidRPr="00420343">
              <w:rPr>
                <w:lang w:val="en-US"/>
              </w:rPr>
              <w:t xml:space="preserve"> – does serving an HE-encrypted forward pass change group-level fairness scores?</w:t>
            </w:r>
          </w:p>
        </w:tc>
        <w:tc>
          <w:tcPr>
            <w:tcW w:w="0" w:type="auto"/>
            <w:vAlign w:val="center"/>
            <w:hideMark/>
          </w:tcPr>
          <w:p w14:paraId="0002D938" w14:textId="77777777" w:rsidR="00420343" w:rsidRPr="00420343" w:rsidRDefault="00420343" w:rsidP="00420343">
            <w:pPr>
              <w:rPr>
                <w:lang w:val="en-US"/>
              </w:rPr>
            </w:pPr>
            <w:r w:rsidRPr="00420343">
              <w:t>Δ</w:t>
            </w:r>
            <w:r w:rsidRPr="00420343">
              <w:rPr>
                <w:lang w:val="en-US"/>
              </w:rPr>
              <w:t xml:space="preserve">-DP and </w:t>
            </w:r>
            <w:r w:rsidRPr="00420343">
              <w:t>Δ</w:t>
            </w:r>
            <w:r w:rsidRPr="00420343">
              <w:rPr>
                <w:lang w:val="en-US"/>
              </w:rPr>
              <w:t>-EO gaps (plain − HE)</w:t>
            </w:r>
          </w:p>
        </w:tc>
      </w:tr>
      <w:tr w:rsidR="00420343" w:rsidRPr="00420343" w14:paraId="3A44918A" w14:textId="77777777" w:rsidTr="0042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792F4" w14:textId="77777777" w:rsidR="00420343" w:rsidRPr="00420343" w:rsidRDefault="00420343" w:rsidP="00420343">
            <w:r w:rsidRPr="00420343">
              <w:t>RQ3</w:t>
            </w:r>
          </w:p>
        </w:tc>
        <w:tc>
          <w:tcPr>
            <w:tcW w:w="0" w:type="auto"/>
            <w:vAlign w:val="center"/>
            <w:hideMark/>
          </w:tcPr>
          <w:p w14:paraId="72AD6384" w14:textId="77777777" w:rsidR="00420343" w:rsidRPr="00420343" w:rsidRDefault="00420343" w:rsidP="00420343">
            <w:pPr>
              <w:rPr>
                <w:lang w:val="en-US"/>
              </w:rPr>
            </w:pPr>
            <w:r w:rsidRPr="00420343">
              <w:rPr>
                <w:b/>
                <w:bCs/>
                <w:lang w:val="en-US"/>
              </w:rPr>
              <w:t>Privacy trade-off</w:t>
            </w:r>
            <w:r w:rsidRPr="00420343">
              <w:rPr>
                <w:lang w:val="en-US"/>
              </w:rPr>
              <w:t xml:space="preserve"> – how does each fairness algorithm shift </w:t>
            </w:r>
            <w:r w:rsidRPr="00420343">
              <w:rPr>
                <w:i/>
                <w:iCs/>
                <w:lang w:val="en-US"/>
              </w:rPr>
              <w:t>per-subgroup</w:t>
            </w:r>
            <w:r w:rsidRPr="00420343">
              <w:rPr>
                <w:lang w:val="en-US"/>
              </w:rPr>
              <w:t xml:space="preserve"> membership-inference risk once encrypted?</w:t>
            </w:r>
          </w:p>
        </w:tc>
        <w:tc>
          <w:tcPr>
            <w:tcW w:w="0" w:type="auto"/>
            <w:vAlign w:val="center"/>
            <w:hideMark/>
          </w:tcPr>
          <w:p w14:paraId="00CFADA0" w14:textId="77777777" w:rsidR="00420343" w:rsidRPr="00420343" w:rsidRDefault="00420343" w:rsidP="00420343">
            <w:pPr>
              <w:rPr>
                <w:lang w:val="en-US"/>
              </w:rPr>
            </w:pPr>
            <w:r w:rsidRPr="00420343">
              <w:rPr>
                <w:lang w:val="en-US"/>
              </w:rPr>
              <w:t xml:space="preserve">LiRA TPR at FPR </w:t>
            </w:r>
            <w:r w:rsidRPr="00420343">
              <w:rPr>
                <w:rFonts w:ascii="Cambria Math" w:hAnsi="Cambria Math" w:cs="Cambria Math"/>
                <w:lang w:val="en-US"/>
              </w:rPr>
              <w:t>∈</w:t>
            </w:r>
            <w:r w:rsidRPr="00420343">
              <w:rPr>
                <w:lang w:val="en-US"/>
              </w:rPr>
              <w:t xml:space="preserve"> {0.1 %, 0.01 %} per subgroup</w:t>
            </w:r>
          </w:p>
        </w:tc>
      </w:tr>
      <w:tr w:rsidR="00420343" w:rsidRPr="00420343" w14:paraId="047E4593" w14:textId="77777777" w:rsidTr="0042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40BC" w14:textId="77777777" w:rsidR="00420343" w:rsidRPr="00420343" w:rsidRDefault="00420343" w:rsidP="00420343">
            <w:r w:rsidRPr="00420343">
              <w:t>RQ4</w:t>
            </w:r>
          </w:p>
        </w:tc>
        <w:tc>
          <w:tcPr>
            <w:tcW w:w="0" w:type="auto"/>
            <w:vAlign w:val="center"/>
            <w:hideMark/>
          </w:tcPr>
          <w:p w14:paraId="00105D4B" w14:textId="77777777" w:rsidR="00420343" w:rsidRPr="00420343" w:rsidRDefault="00420343" w:rsidP="00420343">
            <w:pPr>
              <w:rPr>
                <w:lang w:val="en-US"/>
              </w:rPr>
            </w:pPr>
            <w:r w:rsidRPr="00420343">
              <w:rPr>
                <w:b/>
                <w:bCs/>
                <w:lang w:val="en-US"/>
              </w:rPr>
              <w:t>Encrypted training feasibility</w:t>
            </w:r>
            <w:r w:rsidRPr="00420343">
              <w:rPr>
                <w:lang w:val="en-US"/>
              </w:rPr>
              <w:t xml:space="preserve"> – can </w:t>
            </w:r>
            <w:r w:rsidRPr="00420343">
              <w:rPr>
                <w:i/>
                <w:iCs/>
                <w:lang w:val="en-US"/>
              </w:rPr>
              <w:t>Re-Weighting</w:t>
            </w:r>
            <w:r w:rsidRPr="00420343">
              <w:rPr>
                <w:lang w:val="en-US"/>
              </w:rPr>
              <w:t xml:space="preserve"> (RW) be trained fully under CKKS while preserving utility and fairness?</w:t>
            </w:r>
          </w:p>
        </w:tc>
        <w:tc>
          <w:tcPr>
            <w:tcW w:w="0" w:type="auto"/>
            <w:vAlign w:val="center"/>
            <w:hideMark/>
          </w:tcPr>
          <w:p w14:paraId="0ED7B66E" w14:textId="77777777" w:rsidR="00420343" w:rsidRPr="00420343" w:rsidRDefault="00420343" w:rsidP="00420343">
            <w:pPr>
              <w:rPr>
                <w:lang w:val="en-US"/>
              </w:rPr>
            </w:pPr>
            <w:r w:rsidRPr="00420343">
              <w:rPr>
                <w:lang w:val="en-US"/>
              </w:rPr>
              <w:t>Training time, HE depth, accuracy, DP/EO gaps</w:t>
            </w:r>
          </w:p>
        </w:tc>
      </w:tr>
      <w:tr w:rsidR="00420343" w:rsidRPr="00420343" w14:paraId="43BA621E" w14:textId="77777777" w:rsidTr="0042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CE97" w14:textId="77777777" w:rsidR="00420343" w:rsidRPr="00420343" w:rsidRDefault="00420343" w:rsidP="00420343">
            <w:r w:rsidRPr="00420343">
              <w:t>RQ5</w:t>
            </w:r>
          </w:p>
        </w:tc>
        <w:tc>
          <w:tcPr>
            <w:tcW w:w="0" w:type="auto"/>
            <w:vAlign w:val="center"/>
            <w:hideMark/>
          </w:tcPr>
          <w:p w14:paraId="59E57BB9" w14:textId="77777777" w:rsidR="00420343" w:rsidRPr="00420343" w:rsidRDefault="00420343" w:rsidP="00420343">
            <w:pPr>
              <w:rPr>
                <w:lang w:val="en-US"/>
              </w:rPr>
            </w:pPr>
            <w:r w:rsidRPr="00420343">
              <w:rPr>
                <w:b/>
                <w:bCs/>
                <w:lang w:val="en-US"/>
              </w:rPr>
              <w:t>Encrypted audit feasibility</w:t>
            </w:r>
            <w:r w:rsidRPr="00420343">
              <w:rPr>
                <w:lang w:val="en-US"/>
              </w:rPr>
              <w:t xml:space="preserve"> – can a low-FPR LiRA audit itself run fully in cipher?</w:t>
            </w:r>
          </w:p>
        </w:tc>
        <w:tc>
          <w:tcPr>
            <w:tcW w:w="0" w:type="auto"/>
            <w:vAlign w:val="center"/>
            <w:hideMark/>
          </w:tcPr>
          <w:p w14:paraId="53C83C33" w14:textId="77777777" w:rsidR="00420343" w:rsidRPr="00420343" w:rsidRDefault="00420343" w:rsidP="00420343">
            <w:pPr>
              <w:rPr>
                <w:lang w:val="en-US"/>
              </w:rPr>
            </w:pPr>
            <w:r w:rsidRPr="00420343">
              <w:rPr>
                <w:lang w:val="en-US"/>
              </w:rPr>
              <w:t>Audit latency, RAM, agreement with plaintext verdict</w:t>
            </w:r>
          </w:p>
        </w:tc>
      </w:tr>
    </w:tbl>
    <w:p w14:paraId="605300D3" w14:textId="77777777" w:rsidR="00420343" w:rsidRPr="00420343" w:rsidRDefault="00420343" w:rsidP="00420343">
      <w:r w:rsidRPr="00420343">
        <w:pict w14:anchorId="178BBAEE">
          <v:rect id="_x0000_i1128" style="width:0;height:1.5pt" o:hralign="center" o:hrstd="t" o:hr="t" fillcolor="#a0a0a0" stroked="f"/>
        </w:pict>
      </w:r>
    </w:p>
    <w:p w14:paraId="6B537604" w14:textId="77777777" w:rsidR="00420343" w:rsidRPr="00420343" w:rsidRDefault="00420343" w:rsidP="00420343">
      <w:pPr>
        <w:rPr>
          <w:b/>
          <w:bCs/>
          <w:lang w:val="en-US"/>
        </w:rPr>
      </w:pPr>
      <w:r w:rsidRPr="00420343">
        <w:rPr>
          <w:b/>
          <w:bCs/>
          <w:lang w:val="en-US"/>
        </w:rPr>
        <w:t>4.2</w:t>
      </w:r>
      <w:r w:rsidRPr="00420343">
        <w:rPr>
          <w:b/>
          <w:bCs/>
        </w:rPr>
        <w:t> </w:t>
      </w:r>
      <w:r w:rsidRPr="00420343">
        <w:rPr>
          <w:b/>
          <w:bCs/>
          <w:lang w:val="en-US"/>
        </w:rPr>
        <w:t>Datasets</w:t>
      </w:r>
    </w:p>
    <w:p w14:paraId="7BE36FB6" w14:textId="77777777" w:rsidR="00420343" w:rsidRPr="00420343" w:rsidRDefault="00420343" w:rsidP="00420343">
      <w:pPr>
        <w:rPr>
          <w:lang w:val="en-US"/>
        </w:rPr>
      </w:pPr>
      <w:r w:rsidRPr="00420343">
        <w:rPr>
          <w:lang w:val="en-US"/>
        </w:rPr>
        <w:t>We use four standard fairness benchmarks; each is randomly split 80 / 20 five times.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965"/>
        <w:gridCol w:w="2189"/>
        <w:gridCol w:w="1719"/>
      </w:tblGrid>
      <w:tr w:rsidR="00420343" w:rsidRPr="00420343" w14:paraId="26968F07" w14:textId="77777777" w:rsidTr="004203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1877C" w14:textId="77777777" w:rsidR="00420343" w:rsidRPr="00420343" w:rsidRDefault="00420343" w:rsidP="00420343">
            <w:pPr>
              <w:rPr>
                <w:b/>
                <w:bCs/>
              </w:rPr>
            </w:pPr>
            <w:r w:rsidRPr="00420343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6FF78F50" w14:textId="77777777" w:rsidR="00420343" w:rsidRPr="00420343" w:rsidRDefault="00420343" w:rsidP="00420343">
            <w:pPr>
              <w:rPr>
                <w:b/>
                <w:bCs/>
              </w:rPr>
            </w:pPr>
            <w:proofErr w:type="gramStart"/>
            <w:r w:rsidRPr="00420343">
              <w:rPr>
                <w:b/>
                <w:bCs/>
              </w:rPr>
              <w:t>n</w:t>
            </w:r>
            <w:proofErr w:type="gramEnd"/>
            <w:r w:rsidRPr="00420343">
              <w:rPr>
                <w:b/>
                <w:bCs/>
              </w:rPr>
              <w:t xml:space="preserve"> × d</w:t>
            </w:r>
          </w:p>
        </w:tc>
        <w:tc>
          <w:tcPr>
            <w:tcW w:w="0" w:type="auto"/>
            <w:vAlign w:val="center"/>
            <w:hideMark/>
          </w:tcPr>
          <w:p w14:paraId="0741E627" w14:textId="77777777" w:rsidR="00420343" w:rsidRPr="00420343" w:rsidRDefault="00420343" w:rsidP="00420343">
            <w:pPr>
              <w:rPr>
                <w:b/>
                <w:bCs/>
              </w:rPr>
            </w:pPr>
            <w:proofErr w:type="spellStart"/>
            <w:r w:rsidRPr="00420343">
              <w:rPr>
                <w:b/>
                <w:bCs/>
              </w:rPr>
              <w:t>Sensitive</w:t>
            </w:r>
            <w:proofErr w:type="spellEnd"/>
            <w:r w:rsidRPr="00420343">
              <w:rPr>
                <w:b/>
                <w:bCs/>
              </w:rPr>
              <w:t xml:space="preserve"> </w:t>
            </w:r>
            <w:proofErr w:type="spellStart"/>
            <w:r w:rsidRPr="00420343">
              <w:rPr>
                <w:b/>
                <w:bCs/>
              </w:rPr>
              <w:t>attributes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723D6" w14:textId="77777777" w:rsidR="00420343" w:rsidRPr="00420343" w:rsidRDefault="00420343" w:rsidP="00420343">
            <w:pPr>
              <w:rPr>
                <w:b/>
                <w:bCs/>
              </w:rPr>
            </w:pPr>
            <w:proofErr w:type="spellStart"/>
            <w:r w:rsidRPr="00420343">
              <w:rPr>
                <w:b/>
                <w:bCs/>
              </w:rPr>
              <w:t>Prediction</w:t>
            </w:r>
            <w:proofErr w:type="spellEnd"/>
            <w:r w:rsidRPr="00420343">
              <w:rPr>
                <w:b/>
                <w:bCs/>
              </w:rPr>
              <w:t xml:space="preserve"> </w:t>
            </w:r>
            <w:proofErr w:type="spellStart"/>
            <w:r w:rsidRPr="00420343">
              <w:rPr>
                <w:b/>
                <w:bCs/>
              </w:rPr>
              <w:t>task</w:t>
            </w:r>
            <w:proofErr w:type="spellEnd"/>
          </w:p>
        </w:tc>
      </w:tr>
      <w:tr w:rsidR="00420343" w:rsidRPr="00420343" w14:paraId="3C39AE5E" w14:textId="77777777" w:rsidTr="0042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9C18D" w14:textId="77777777" w:rsidR="00420343" w:rsidRPr="00420343" w:rsidRDefault="00420343" w:rsidP="00420343">
            <w:r w:rsidRPr="00420343">
              <w:t>Adult</w:t>
            </w:r>
          </w:p>
        </w:tc>
        <w:tc>
          <w:tcPr>
            <w:tcW w:w="0" w:type="auto"/>
            <w:vAlign w:val="center"/>
            <w:hideMark/>
          </w:tcPr>
          <w:p w14:paraId="20833F67" w14:textId="77777777" w:rsidR="00420343" w:rsidRPr="00420343" w:rsidRDefault="00420343" w:rsidP="00420343">
            <w:r w:rsidRPr="00420343">
              <w:t>48 k × 14</w:t>
            </w:r>
          </w:p>
        </w:tc>
        <w:tc>
          <w:tcPr>
            <w:tcW w:w="0" w:type="auto"/>
            <w:vAlign w:val="center"/>
            <w:hideMark/>
          </w:tcPr>
          <w:p w14:paraId="66240B96" w14:textId="77777777" w:rsidR="00420343" w:rsidRPr="00420343" w:rsidRDefault="00420343" w:rsidP="00420343">
            <w:proofErr w:type="spellStart"/>
            <w:r w:rsidRPr="00420343">
              <w:t>Sex</w:t>
            </w:r>
            <w:proofErr w:type="spellEnd"/>
            <w:r w:rsidRPr="00420343">
              <w:t>, Race</w:t>
            </w:r>
          </w:p>
        </w:tc>
        <w:tc>
          <w:tcPr>
            <w:tcW w:w="0" w:type="auto"/>
            <w:vAlign w:val="center"/>
            <w:hideMark/>
          </w:tcPr>
          <w:p w14:paraId="0FDD6A0A" w14:textId="77777777" w:rsidR="00420343" w:rsidRPr="00420343" w:rsidRDefault="00420343" w:rsidP="00420343">
            <w:proofErr w:type="spellStart"/>
            <w:r w:rsidRPr="00420343">
              <w:t>Income</w:t>
            </w:r>
            <w:proofErr w:type="spellEnd"/>
            <w:r w:rsidRPr="00420343">
              <w:t xml:space="preserve"> ≥ $50 k</w:t>
            </w:r>
          </w:p>
        </w:tc>
      </w:tr>
      <w:tr w:rsidR="00420343" w:rsidRPr="00420343" w14:paraId="40DDAA59" w14:textId="77777777" w:rsidTr="0042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3107D" w14:textId="77777777" w:rsidR="00420343" w:rsidRPr="00420343" w:rsidRDefault="00420343" w:rsidP="00420343">
            <w:r w:rsidRPr="00420343">
              <w:t>COMPAS</w:t>
            </w:r>
          </w:p>
        </w:tc>
        <w:tc>
          <w:tcPr>
            <w:tcW w:w="0" w:type="auto"/>
            <w:vAlign w:val="center"/>
            <w:hideMark/>
          </w:tcPr>
          <w:p w14:paraId="20FC31B3" w14:textId="77777777" w:rsidR="00420343" w:rsidRPr="00420343" w:rsidRDefault="00420343" w:rsidP="00420343">
            <w:r w:rsidRPr="00420343">
              <w:t>6 k × 12</w:t>
            </w:r>
          </w:p>
        </w:tc>
        <w:tc>
          <w:tcPr>
            <w:tcW w:w="0" w:type="auto"/>
            <w:vAlign w:val="center"/>
            <w:hideMark/>
          </w:tcPr>
          <w:p w14:paraId="060B72E7" w14:textId="77777777" w:rsidR="00420343" w:rsidRPr="00420343" w:rsidRDefault="00420343" w:rsidP="00420343">
            <w:r w:rsidRPr="00420343">
              <w:t xml:space="preserve">Race, </w:t>
            </w:r>
            <w:proofErr w:type="spellStart"/>
            <w:r w:rsidRPr="00420343">
              <w:t>Sex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3B75A" w14:textId="77777777" w:rsidR="00420343" w:rsidRPr="00420343" w:rsidRDefault="00420343" w:rsidP="00420343">
            <w:r w:rsidRPr="00420343">
              <w:t xml:space="preserve">2-yr </w:t>
            </w:r>
            <w:proofErr w:type="spellStart"/>
            <w:r w:rsidRPr="00420343">
              <w:t>recidivism</w:t>
            </w:r>
            <w:proofErr w:type="spellEnd"/>
          </w:p>
        </w:tc>
      </w:tr>
      <w:tr w:rsidR="00420343" w:rsidRPr="00420343" w14:paraId="150703B4" w14:textId="77777777" w:rsidTr="0042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CEA15" w14:textId="77777777" w:rsidR="00420343" w:rsidRPr="00420343" w:rsidRDefault="00420343" w:rsidP="00420343">
            <w:proofErr w:type="spellStart"/>
            <w:r w:rsidRPr="00420343">
              <w:t>Law</w:t>
            </w:r>
            <w:proofErr w:type="spellEnd"/>
            <w:r w:rsidRPr="00420343">
              <w:t>-School</w:t>
            </w:r>
          </w:p>
        </w:tc>
        <w:tc>
          <w:tcPr>
            <w:tcW w:w="0" w:type="auto"/>
            <w:vAlign w:val="center"/>
            <w:hideMark/>
          </w:tcPr>
          <w:p w14:paraId="400CF003" w14:textId="77777777" w:rsidR="00420343" w:rsidRPr="00420343" w:rsidRDefault="00420343" w:rsidP="00420343">
            <w:r w:rsidRPr="00420343">
              <w:t>20 k × 13</w:t>
            </w:r>
          </w:p>
        </w:tc>
        <w:tc>
          <w:tcPr>
            <w:tcW w:w="0" w:type="auto"/>
            <w:vAlign w:val="center"/>
            <w:hideMark/>
          </w:tcPr>
          <w:p w14:paraId="4B606866" w14:textId="77777777" w:rsidR="00420343" w:rsidRPr="00420343" w:rsidRDefault="00420343" w:rsidP="00420343">
            <w:r w:rsidRPr="00420343">
              <w:t>Race</w:t>
            </w:r>
          </w:p>
        </w:tc>
        <w:tc>
          <w:tcPr>
            <w:tcW w:w="0" w:type="auto"/>
            <w:vAlign w:val="center"/>
            <w:hideMark/>
          </w:tcPr>
          <w:p w14:paraId="4C91EB91" w14:textId="77777777" w:rsidR="00420343" w:rsidRPr="00420343" w:rsidRDefault="00420343" w:rsidP="00420343">
            <w:r w:rsidRPr="00420343">
              <w:t>Bar-</w:t>
            </w:r>
            <w:proofErr w:type="spellStart"/>
            <w:r w:rsidRPr="00420343">
              <w:t>exam</w:t>
            </w:r>
            <w:proofErr w:type="spellEnd"/>
            <w:r w:rsidRPr="00420343">
              <w:t xml:space="preserve"> pass</w:t>
            </w:r>
          </w:p>
        </w:tc>
      </w:tr>
      <w:tr w:rsidR="00420343" w:rsidRPr="00420343" w14:paraId="0DA0CA01" w14:textId="77777777" w:rsidTr="0042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5C4B1" w14:textId="77777777" w:rsidR="00420343" w:rsidRPr="00420343" w:rsidRDefault="00420343" w:rsidP="00420343">
            <w:proofErr w:type="spellStart"/>
            <w:r w:rsidRPr="00420343">
              <w:t>Credit-Card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78BE6" w14:textId="77777777" w:rsidR="00420343" w:rsidRPr="00420343" w:rsidRDefault="00420343" w:rsidP="00420343">
            <w:r w:rsidRPr="00420343">
              <w:t>30 k × 23</w:t>
            </w:r>
          </w:p>
        </w:tc>
        <w:tc>
          <w:tcPr>
            <w:tcW w:w="0" w:type="auto"/>
            <w:vAlign w:val="center"/>
            <w:hideMark/>
          </w:tcPr>
          <w:p w14:paraId="5BBEC8F9" w14:textId="77777777" w:rsidR="00420343" w:rsidRPr="00420343" w:rsidRDefault="00420343" w:rsidP="00420343">
            <w:proofErr w:type="spellStart"/>
            <w:r w:rsidRPr="00420343">
              <w:t>Sex</w:t>
            </w:r>
            <w:proofErr w:type="spellEnd"/>
            <w:r w:rsidRPr="00420343">
              <w:t>, Age</w:t>
            </w:r>
          </w:p>
        </w:tc>
        <w:tc>
          <w:tcPr>
            <w:tcW w:w="0" w:type="auto"/>
            <w:vAlign w:val="center"/>
            <w:hideMark/>
          </w:tcPr>
          <w:p w14:paraId="4130F12B" w14:textId="77777777" w:rsidR="00420343" w:rsidRPr="00420343" w:rsidRDefault="00420343" w:rsidP="00420343">
            <w:r w:rsidRPr="00420343">
              <w:t>Default</w:t>
            </w:r>
          </w:p>
        </w:tc>
      </w:tr>
    </w:tbl>
    <w:p w14:paraId="6C72317F" w14:textId="77777777" w:rsidR="00420343" w:rsidRPr="00420343" w:rsidRDefault="00420343" w:rsidP="00420343">
      <w:r w:rsidRPr="00420343">
        <w:pict w14:anchorId="668EF089">
          <v:rect id="_x0000_i1129" style="width:0;height:1.5pt" o:hralign="center" o:hrstd="t" o:hr="t" fillcolor="#a0a0a0" stroked="f"/>
        </w:pict>
      </w:r>
    </w:p>
    <w:p w14:paraId="73E1CA9F" w14:textId="77777777" w:rsidR="00420343" w:rsidRPr="00420343" w:rsidRDefault="00420343" w:rsidP="00420343">
      <w:pPr>
        <w:rPr>
          <w:b/>
          <w:bCs/>
        </w:rPr>
      </w:pPr>
      <w:r w:rsidRPr="00420343">
        <w:rPr>
          <w:b/>
          <w:bCs/>
        </w:rPr>
        <w:lastRenderedPageBreak/>
        <w:t>4.3</w:t>
      </w:r>
      <w:r w:rsidRPr="00420343">
        <w:rPr>
          <w:b/>
          <w:bCs/>
        </w:rPr>
        <w:t> </w:t>
      </w:r>
      <w:r w:rsidRPr="00420343">
        <w:rPr>
          <w:b/>
          <w:bCs/>
        </w:rPr>
        <w:t xml:space="preserve">Pipelines </w:t>
      </w:r>
      <w:proofErr w:type="spellStart"/>
      <w:r w:rsidRPr="00420343">
        <w:rPr>
          <w:b/>
          <w:bCs/>
        </w:rPr>
        <w:t>under</w:t>
      </w:r>
      <w:proofErr w:type="spellEnd"/>
      <w:r w:rsidRPr="00420343">
        <w:rPr>
          <w:b/>
          <w:bCs/>
        </w:rPr>
        <w:t xml:space="preserve">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3674"/>
        <w:gridCol w:w="3251"/>
      </w:tblGrid>
      <w:tr w:rsidR="00420343" w:rsidRPr="00420343" w14:paraId="515797D9" w14:textId="77777777" w:rsidTr="004203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72EC6" w14:textId="77777777" w:rsidR="00420343" w:rsidRPr="00420343" w:rsidRDefault="00420343" w:rsidP="00420343">
            <w:pPr>
              <w:rPr>
                <w:b/>
                <w:bCs/>
              </w:rPr>
            </w:pPr>
            <w:r w:rsidRPr="00420343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523A22E4" w14:textId="77777777" w:rsidR="00420343" w:rsidRPr="00420343" w:rsidRDefault="00420343" w:rsidP="00420343">
            <w:pPr>
              <w:rPr>
                <w:b/>
                <w:bCs/>
              </w:rPr>
            </w:pPr>
            <w:proofErr w:type="spellStart"/>
            <w:r w:rsidRPr="00420343">
              <w:rPr>
                <w:b/>
                <w:bCs/>
              </w:rPr>
              <w:t>Plaintext</w:t>
            </w:r>
            <w:proofErr w:type="spellEnd"/>
            <w:r w:rsidRPr="00420343">
              <w:rPr>
                <w:b/>
                <w:bCs/>
              </w:rPr>
              <w:t xml:space="preserve"> baseline</w:t>
            </w:r>
          </w:p>
        </w:tc>
        <w:tc>
          <w:tcPr>
            <w:tcW w:w="0" w:type="auto"/>
            <w:vAlign w:val="center"/>
            <w:hideMark/>
          </w:tcPr>
          <w:p w14:paraId="1B59712D" w14:textId="77777777" w:rsidR="00420343" w:rsidRPr="00420343" w:rsidRDefault="00420343" w:rsidP="00420343">
            <w:pPr>
              <w:rPr>
                <w:b/>
                <w:bCs/>
              </w:rPr>
            </w:pPr>
            <w:proofErr w:type="gramStart"/>
            <w:r w:rsidRPr="00420343">
              <w:rPr>
                <w:b/>
                <w:bCs/>
              </w:rPr>
              <w:t>HE variant</w:t>
            </w:r>
            <w:proofErr w:type="gramEnd"/>
          </w:p>
        </w:tc>
      </w:tr>
      <w:tr w:rsidR="00420343" w:rsidRPr="00420343" w14:paraId="6E82BB34" w14:textId="77777777" w:rsidTr="0042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94B22" w14:textId="77777777" w:rsidR="00420343" w:rsidRPr="00420343" w:rsidRDefault="00420343" w:rsidP="00420343">
            <w:r w:rsidRPr="00420343">
              <w:rPr>
                <w:b/>
                <w:bCs/>
              </w:rPr>
              <w:t>Pre-processing</w:t>
            </w:r>
          </w:p>
        </w:tc>
        <w:tc>
          <w:tcPr>
            <w:tcW w:w="0" w:type="auto"/>
            <w:vAlign w:val="center"/>
            <w:hideMark/>
          </w:tcPr>
          <w:p w14:paraId="6A740F05" w14:textId="77777777" w:rsidR="00420343" w:rsidRPr="00420343" w:rsidRDefault="00420343" w:rsidP="00420343">
            <w:pPr>
              <w:rPr>
                <w:lang w:val="en-US"/>
              </w:rPr>
            </w:pPr>
            <w:r w:rsidRPr="00420343">
              <w:rPr>
                <w:lang w:val="en-US"/>
              </w:rPr>
              <w:t>RW / EGR weight computation; AdvDeb mini-batch sampler</w:t>
            </w:r>
          </w:p>
        </w:tc>
        <w:tc>
          <w:tcPr>
            <w:tcW w:w="0" w:type="auto"/>
            <w:vAlign w:val="center"/>
            <w:hideMark/>
          </w:tcPr>
          <w:p w14:paraId="01713173" w14:textId="77777777" w:rsidR="00420343" w:rsidRPr="00420343" w:rsidRDefault="00420343" w:rsidP="00420343">
            <w:pPr>
              <w:rPr>
                <w:lang w:val="en-US"/>
              </w:rPr>
            </w:pPr>
            <w:r w:rsidRPr="00420343">
              <w:rPr>
                <w:lang w:val="en-US"/>
              </w:rPr>
              <w:t>CKKS SIMD reductions for RW; EGR &amp; AdvDeb done in clear</w:t>
            </w:r>
          </w:p>
        </w:tc>
      </w:tr>
      <w:tr w:rsidR="00420343" w:rsidRPr="00420343" w14:paraId="2CFE12C3" w14:textId="77777777" w:rsidTr="0042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49D19" w14:textId="77777777" w:rsidR="00420343" w:rsidRPr="00420343" w:rsidRDefault="00420343" w:rsidP="00420343">
            <w:r w:rsidRPr="00420343">
              <w:rPr>
                <w:b/>
                <w:bCs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511B99FA" w14:textId="77777777" w:rsidR="00420343" w:rsidRPr="00420343" w:rsidRDefault="00420343" w:rsidP="00420343">
            <w:pPr>
              <w:rPr>
                <w:lang w:val="en-US"/>
              </w:rPr>
            </w:pPr>
            <w:r w:rsidRPr="00420343">
              <w:rPr>
                <w:lang w:val="en-US"/>
              </w:rPr>
              <w:t>LR-SGD / 3-layer MLP (scikit-learn); Fairlearn EGR; IBM AIF360 AdvDeb</w:t>
            </w:r>
          </w:p>
        </w:tc>
        <w:tc>
          <w:tcPr>
            <w:tcW w:w="0" w:type="auto"/>
            <w:vAlign w:val="center"/>
            <w:hideMark/>
          </w:tcPr>
          <w:p w14:paraId="2AEEFA1E" w14:textId="77777777" w:rsidR="00420343" w:rsidRPr="00420343" w:rsidRDefault="00420343" w:rsidP="00420343">
            <w:pPr>
              <w:rPr>
                <w:lang w:val="en-US"/>
              </w:rPr>
            </w:pPr>
            <w:r w:rsidRPr="00420343">
              <w:rPr>
                <w:lang w:val="en-US"/>
              </w:rPr>
              <w:t>RW trained fully under CKKS (no back-prop); EGR &amp; AdvDeb in clear</w:t>
            </w:r>
          </w:p>
        </w:tc>
      </w:tr>
      <w:tr w:rsidR="00420343" w:rsidRPr="00420343" w14:paraId="441A07EC" w14:textId="77777777" w:rsidTr="0042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28FB8" w14:textId="77777777" w:rsidR="00420343" w:rsidRPr="00420343" w:rsidRDefault="00420343" w:rsidP="00420343">
            <w:proofErr w:type="spellStart"/>
            <w:r w:rsidRPr="00420343">
              <w:rPr>
                <w:b/>
                <w:bCs/>
              </w:rPr>
              <w:t>Inference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04742" w14:textId="77777777" w:rsidR="00420343" w:rsidRPr="00420343" w:rsidRDefault="00420343" w:rsidP="00420343">
            <w:proofErr w:type="spellStart"/>
            <w:proofErr w:type="gramStart"/>
            <w:r w:rsidRPr="00420343">
              <w:t>NumPy</w:t>
            </w:r>
            <w:proofErr w:type="spellEnd"/>
            <w:r w:rsidRPr="00420343">
              <w:t xml:space="preserve"> /</w:t>
            </w:r>
            <w:proofErr w:type="gramEnd"/>
            <w:r w:rsidRPr="00420343">
              <w:t xml:space="preserve"> </w:t>
            </w:r>
            <w:proofErr w:type="spellStart"/>
            <w:r w:rsidRPr="00420343">
              <w:t>PyTorch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A7868" w14:textId="77777777" w:rsidR="00420343" w:rsidRPr="00420343" w:rsidRDefault="00420343" w:rsidP="00420343">
            <w:pPr>
              <w:rPr>
                <w:lang w:val="en-US"/>
              </w:rPr>
            </w:pPr>
            <w:r w:rsidRPr="00420343">
              <w:rPr>
                <w:lang w:val="en-US"/>
              </w:rPr>
              <w:t>TenSEAL 0.4 CKKS, degree-4 Chebyshev ReLU</w:t>
            </w:r>
          </w:p>
        </w:tc>
      </w:tr>
      <w:tr w:rsidR="00420343" w:rsidRPr="00420343" w14:paraId="7888DDFB" w14:textId="77777777" w:rsidTr="0042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EAFEB" w14:textId="77777777" w:rsidR="00420343" w:rsidRPr="00420343" w:rsidRDefault="00420343" w:rsidP="00420343">
            <w:r w:rsidRPr="00420343">
              <w:rPr>
                <w:b/>
                <w:bCs/>
              </w:rPr>
              <w:t>Privacy/</w:t>
            </w:r>
            <w:proofErr w:type="spellStart"/>
            <w:r w:rsidRPr="00420343">
              <w:rPr>
                <w:b/>
                <w:bCs/>
              </w:rPr>
              <w:t>Fairness</w:t>
            </w:r>
            <w:proofErr w:type="spellEnd"/>
            <w:r w:rsidRPr="00420343">
              <w:rPr>
                <w:b/>
                <w:bCs/>
              </w:rPr>
              <w:t xml:space="preserve"> audit</w:t>
            </w:r>
          </w:p>
        </w:tc>
        <w:tc>
          <w:tcPr>
            <w:tcW w:w="0" w:type="auto"/>
            <w:vAlign w:val="center"/>
            <w:hideMark/>
          </w:tcPr>
          <w:p w14:paraId="099F9348" w14:textId="77777777" w:rsidR="00420343" w:rsidRPr="00420343" w:rsidRDefault="00420343" w:rsidP="00420343">
            <w:proofErr w:type="spellStart"/>
            <w:r w:rsidRPr="00420343">
              <w:t>LiRA</w:t>
            </w:r>
            <w:proofErr w:type="spellEnd"/>
            <w:r w:rsidRPr="00420343">
              <w:t xml:space="preserve"> </w:t>
            </w:r>
            <w:proofErr w:type="spellStart"/>
            <w:r w:rsidRPr="00420343">
              <w:t>implementation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E1DA84" w14:textId="77777777" w:rsidR="00420343" w:rsidRPr="00420343" w:rsidRDefault="00420343" w:rsidP="00420343">
            <w:pPr>
              <w:rPr>
                <w:lang w:val="en-US"/>
              </w:rPr>
            </w:pPr>
            <w:r w:rsidRPr="00420343">
              <w:rPr>
                <w:lang w:val="en-US"/>
              </w:rPr>
              <w:t xml:space="preserve">CKKS reductions + single TFHE “&gt; </w:t>
            </w:r>
            <w:r w:rsidRPr="00420343">
              <w:t>τ</w:t>
            </w:r>
            <w:r w:rsidRPr="00420343">
              <w:rPr>
                <w:lang w:val="en-US"/>
              </w:rPr>
              <w:t>” gate</w:t>
            </w:r>
          </w:p>
        </w:tc>
      </w:tr>
    </w:tbl>
    <w:p w14:paraId="35B8D2D5" w14:textId="77777777" w:rsidR="00420343" w:rsidRPr="00420343" w:rsidRDefault="00420343" w:rsidP="00420343">
      <w:r w:rsidRPr="00420343">
        <w:pict w14:anchorId="14AE9AD4">
          <v:rect id="_x0000_i1130" style="width:0;height:1.5pt" o:hralign="center" o:hrstd="t" o:hr="t" fillcolor="#a0a0a0" stroked="f"/>
        </w:pict>
      </w:r>
    </w:p>
    <w:p w14:paraId="0E7CF78B" w14:textId="77777777" w:rsidR="00420343" w:rsidRPr="00420343" w:rsidRDefault="00420343" w:rsidP="00420343">
      <w:pPr>
        <w:rPr>
          <w:b/>
          <w:bCs/>
        </w:rPr>
      </w:pPr>
      <w:r w:rsidRPr="00420343">
        <w:rPr>
          <w:b/>
          <w:bCs/>
        </w:rPr>
        <w:t>4.4</w:t>
      </w:r>
      <w:r w:rsidRPr="00420343">
        <w:rPr>
          <w:b/>
          <w:bCs/>
        </w:rPr>
        <w:t> </w:t>
      </w:r>
      <w:r w:rsidRPr="00420343">
        <w:rPr>
          <w:b/>
          <w:bCs/>
        </w:rPr>
        <w:t xml:space="preserve">HE </w:t>
      </w:r>
      <w:proofErr w:type="spellStart"/>
      <w:r w:rsidRPr="00420343">
        <w:rPr>
          <w:b/>
          <w:bCs/>
        </w:rPr>
        <w:t>configuration</w:t>
      </w:r>
      <w:proofErr w:type="spellEnd"/>
    </w:p>
    <w:p w14:paraId="6B3151E1" w14:textId="77777777" w:rsidR="00420343" w:rsidRPr="00420343" w:rsidRDefault="00420343" w:rsidP="00420343">
      <w:pPr>
        <w:numPr>
          <w:ilvl w:val="0"/>
          <w:numId w:val="9"/>
        </w:numPr>
        <w:rPr>
          <w:lang w:val="en-US"/>
        </w:rPr>
      </w:pPr>
      <w:r w:rsidRPr="00420343">
        <w:rPr>
          <w:b/>
          <w:bCs/>
          <w:lang w:val="en-US"/>
        </w:rPr>
        <w:t>CKKS:</w:t>
      </w:r>
      <w:r w:rsidRPr="00420343">
        <w:rPr>
          <w:lang w:val="en-US"/>
        </w:rPr>
        <w:t xml:space="preserve"> degree = 8 192, scale = 2²⁰; multiplicative depth budget ≈ 18 (sufficient for 3-layer MLP).</w:t>
      </w:r>
    </w:p>
    <w:p w14:paraId="5E1F2264" w14:textId="77777777" w:rsidR="00420343" w:rsidRPr="00420343" w:rsidRDefault="00420343" w:rsidP="00420343">
      <w:pPr>
        <w:numPr>
          <w:ilvl w:val="0"/>
          <w:numId w:val="9"/>
        </w:numPr>
        <w:rPr>
          <w:lang w:val="en-US"/>
        </w:rPr>
      </w:pPr>
      <w:r w:rsidRPr="00420343">
        <w:rPr>
          <w:b/>
          <w:bCs/>
          <w:lang w:val="en-US"/>
        </w:rPr>
        <w:t>TFHE:</w:t>
      </w:r>
      <w:r w:rsidRPr="00420343">
        <w:rPr>
          <w:lang w:val="en-US"/>
        </w:rPr>
        <w:t xml:space="preserve"> Concrete-core 0.4; 1-gate bootstrap for comparisons ≤ 50 µs.</w:t>
      </w:r>
    </w:p>
    <w:p w14:paraId="6B7747B1" w14:textId="77777777" w:rsidR="00420343" w:rsidRPr="00420343" w:rsidRDefault="00420343" w:rsidP="00420343">
      <w:pPr>
        <w:numPr>
          <w:ilvl w:val="0"/>
          <w:numId w:val="9"/>
        </w:numPr>
        <w:rPr>
          <w:lang w:val="en-US"/>
        </w:rPr>
      </w:pPr>
      <w:r w:rsidRPr="00420343">
        <w:rPr>
          <w:b/>
          <w:bCs/>
          <w:lang w:val="en-US"/>
        </w:rPr>
        <w:t>Hardware:</w:t>
      </w:r>
      <w:r w:rsidRPr="00420343">
        <w:rPr>
          <w:lang w:val="en-US"/>
        </w:rPr>
        <w:t xml:space="preserve"> 1 × Intel Xeon Gold 6248R, 256 GB RAM, no GPU.</w:t>
      </w:r>
    </w:p>
    <w:p w14:paraId="5A064AAF" w14:textId="77777777" w:rsidR="00420343" w:rsidRPr="00420343" w:rsidRDefault="00420343" w:rsidP="00420343">
      <w:pPr>
        <w:numPr>
          <w:ilvl w:val="0"/>
          <w:numId w:val="9"/>
        </w:numPr>
        <w:rPr>
          <w:lang w:val="en-US"/>
        </w:rPr>
      </w:pPr>
      <w:r w:rsidRPr="00420343">
        <w:rPr>
          <w:lang w:val="en-US"/>
        </w:rPr>
        <w:t>All code, Dockerfile and timing harness released open-source.</w:t>
      </w:r>
    </w:p>
    <w:p w14:paraId="3E6BFF4E" w14:textId="77777777" w:rsidR="00420343" w:rsidRPr="00420343" w:rsidRDefault="00420343" w:rsidP="00420343">
      <w:r w:rsidRPr="00420343">
        <w:pict w14:anchorId="09766F71">
          <v:rect id="_x0000_i1131" style="width:0;height:1.5pt" o:hralign="center" o:hrstd="t" o:hr="t" fillcolor="#a0a0a0" stroked="f"/>
        </w:pict>
      </w:r>
    </w:p>
    <w:p w14:paraId="502E241C" w14:textId="77777777" w:rsidR="00420343" w:rsidRPr="00420343" w:rsidRDefault="00420343" w:rsidP="00420343">
      <w:pPr>
        <w:rPr>
          <w:b/>
          <w:bCs/>
        </w:rPr>
      </w:pPr>
      <w:r w:rsidRPr="00420343">
        <w:rPr>
          <w:b/>
          <w:bCs/>
        </w:rPr>
        <w:t>4.5</w:t>
      </w:r>
      <w:r w:rsidRPr="00420343">
        <w:rPr>
          <w:b/>
          <w:bCs/>
        </w:rPr>
        <w:t> </w:t>
      </w:r>
      <w:r w:rsidRPr="00420343">
        <w:rPr>
          <w:b/>
          <w:bCs/>
        </w:rPr>
        <w:t>Evaluation protocol</w:t>
      </w:r>
    </w:p>
    <w:p w14:paraId="152C18AC" w14:textId="77777777" w:rsidR="00420343" w:rsidRPr="00420343" w:rsidRDefault="00420343" w:rsidP="00420343">
      <w:pPr>
        <w:numPr>
          <w:ilvl w:val="0"/>
          <w:numId w:val="10"/>
        </w:numPr>
        <w:rPr>
          <w:lang w:val="en-US"/>
        </w:rPr>
      </w:pPr>
      <w:r w:rsidRPr="00420343">
        <w:rPr>
          <w:b/>
          <w:bCs/>
          <w:lang w:val="en-US"/>
        </w:rPr>
        <w:t>Plaintext baseline.</w:t>
      </w:r>
      <w:r w:rsidRPr="00420343">
        <w:rPr>
          <w:lang w:val="en-US"/>
        </w:rPr>
        <w:t xml:space="preserve"> Train each fairness algorithm; store accuracy and DP/EO gaps.</w:t>
      </w:r>
    </w:p>
    <w:p w14:paraId="57BB316F" w14:textId="77777777" w:rsidR="00420343" w:rsidRPr="00420343" w:rsidRDefault="00420343" w:rsidP="00420343">
      <w:pPr>
        <w:numPr>
          <w:ilvl w:val="0"/>
          <w:numId w:val="10"/>
        </w:numPr>
        <w:rPr>
          <w:lang w:val="en-US"/>
        </w:rPr>
      </w:pPr>
      <w:r w:rsidRPr="00420343">
        <w:rPr>
          <w:b/>
          <w:bCs/>
          <w:lang w:val="en-US"/>
        </w:rPr>
        <w:t>Latency (RQ1).</w:t>
      </w:r>
      <w:r w:rsidRPr="00420343">
        <w:rPr>
          <w:lang w:val="en-US"/>
        </w:rPr>
        <w:t xml:space="preserve"> Encrypt the test split; time single-row and batched (512) inference.</w:t>
      </w:r>
    </w:p>
    <w:p w14:paraId="43645CF2" w14:textId="77777777" w:rsidR="00420343" w:rsidRPr="00420343" w:rsidRDefault="00420343" w:rsidP="00420343">
      <w:pPr>
        <w:numPr>
          <w:ilvl w:val="0"/>
          <w:numId w:val="10"/>
        </w:numPr>
        <w:rPr>
          <w:lang w:val="en-US"/>
        </w:rPr>
      </w:pPr>
      <w:r w:rsidRPr="00420343">
        <w:rPr>
          <w:b/>
          <w:bCs/>
          <w:lang w:val="en-US"/>
        </w:rPr>
        <w:t>Fairness retention (RQ2).</w:t>
      </w:r>
      <w:r w:rsidRPr="00420343">
        <w:rPr>
          <w:lang w:val="en-US"/>
        </w:rPr>
        <w:t xml:space="preserve"> Compute the same gaps on ciphertext scores (decrypt only once at the end).</w:t>
      </w:r>
    </w:p>
    <w:p w14:paraId="7C4E7FC9" w14:textId="77777777" w:rsidR="00420343" w:rsidRPr="00420343" w:rsidRDefault="00420343" w:rsidP="00420343">
      <w:pPr>
        <w:numPr>
          <w:ilvl w:val="0"/>
          <w:numId w:val="10"/>
        </w:numPr>
      </w:pPr>
      <w:proofErr w:type="spellStart"/>
      <w:r w:rsidRPr="00420343">
        <w:rPr>
          <w:b/>
          <w:bCs/>
        </w:rPr>
        <w:t>LiRA</w:t>
      </w:r>
      <w:proofErr w:type="spellEnd"/>
      <w:r w:rsidRPr="00420343">
        <w:rPr>
          <w:b/>
          <w:bCs/>
        </w:rPr>
        <w:t xml:space="preserve"> privacy audit (RQ3).</w:t>
      </w:r>
    </w:p>
    <w:p w14:paraId="6A8933FC" w14:textId="77777777" w:rsidR="00420343" w:rsidRPr="00420343" w:rsidRDefault="00420343" w:rsidP="00420343">
      <w:pPr>
        <w:numPr>
          <w:ilvl w:val="1"/>
          <w:numId w:val="10"/>
        </w:numPr>
        <w:rPr>
          <w:lang w:val="en-US"/>
        </w:rPr>
      </w:pPr>
      <w:r w:rsidRPr="00420343">
        <w:rPr>
          <w:lang w:val="en-US"/>
        </w:rPr>
        <w:t>Shadow pool: 256 IN + 256 OUT models.</w:t>
      </w:r>
    </w:p>
    <w:p w14:paraId="2C9C2F07" w14:textId="77777777" w:rsidR="00420343" w:rsidRPr="00420343" w:rsidRDefault="00420343" w:rsidP="00420343">
      <w:pPr>
        <w:numPr>
          <w:ilvl w:val="1"/>
          <w:numId w:val="10"/>
        </w:numPr>
        <w:rPr>
          <w:lang w:val="en-US"/>
        </w:rPr>
      </w:pPr>
      <w:r w:rsidRPr="00420343">
        <w:rPr>
          <w:lang w:val="en-US"/>
        </w:rPr>
        <w:t>Measure TPR@FPR for every sensitive subgroup in plaintext and under HE, compare.</w:t>
      </w:r>
    </w:p>
    <w:p w14:paraId="7EC4E945" w14:textId="77777777" w:rsidR="00420343" w:rsidRPr="00420343" w:rsidRDefault="00420343" w:rsidP="00420343">
      <w:pPr>
        <w:numPr>
          <w:ilvl w:val="0"/>
          <w:numId w:val="10"/>
        </w:numPr>
        <w:rPr>
          <w:lang w:val="en-US"/>
        </w:rPr>
      </w:pPr>
      <w:r w:rsidRPr="00420343">
        <w:rPr>
          <w:b/>
          <w:bCs/>
          <w:lang w:val="en-US"/>
        </w:rPr>
        <w:lastRenderedPageBreak/>
        <w:t>RW training in cipher (RQ4).</w:t>
      </w:r>
    </w:p>
    <w:p w14:paraId="6335F214" w14:textId="77777777" w:rsidR="00420343" w:rsidRPr="00420343" w:rsidRDefault="00420343" w:rsidP="00420343">
      <w:pPr>
        <w:numPr>
          <w:ilvl w:val="1"/>
          <w:numId w:val="10"/>
        </w:numPr>
        <w:rPr>
          <w:lang w:val="en-US"/>
        </w:rPr>
      </w:pPr>
      <w:r w:rsidRPr="00420343">
        <w:rPr>
          <w:lang w:val="en-US"/>
        </w:rPr>
        <w:t>Compute sample weights under CKKS; decrypt only final weights; retrain; re-encrypt model; log cost and metrics.</w:t>
      </w:r>
    </w:p>
    <w:p w14:paraId="2794C667" w14:textId="77777777" w:rsidR="00420343" w:rsidRPr="00420343" w:rsidRDefault="00420343" w:rsidP="00420343">
      <w:pPr>
        <w:numPr>
          <w:ilvl w:val="0"/>
          <w:numId w:val="10"/>
        </w:numPr>
        <w:rPr>
          <w:lang w:val="en-US"/>
        </w:rPr>
      </w:pPr>
      <w:r w:rsidRPr="00420343">
        <w:rPr>
          <w:b/>
          <w:bCs/>
          <w:lang w:val="en-US"/>
        </w:rPr>
        <w:t>Fully-encrypted audit (RQ5).</w:t>
      </w:r>
      <w:r w:rsidRPr="00420343">
        <w:rPr>
          <w:lang w:val="en-US"/>
        </w:rPr>
        <w:t xml:space="preserve"> Run LiRA test end-to-end in CKKS + TFHE, decrypt verdict bits only.</w:t>
      </w:r>
    </w:p>
    <w:p w14:paraId="118C2ECB" w14:textId="77777777" w:rsidR="00420343" w:rsidRPr="00420343" w:rsidRDefault="00420343" w:rsidP="00420343">
      <w:r w:rsidRPr="00420343">
        <w:pict w14:anchorId="1F9DECE9">
          <v:rect id="_x0000_i1132" style="width:0;height:1.5pt" o:hralign="center" o:hrstd="t" o:hr="t" fillcolor="#a0a0a0" stroked="f"/>
        </w:pict>
      </w:r>
    </w:p>
    <w:p w14:paraId="49EBDF43" w14:textId="77777777" w:rsidR="00420343" w:rsidRPr="00420343" w:rsidRDefault="00420343" w:rsidP="00420343">
      <w:pPr>
        <w:rPr>
          <w:b/>
          <w:bCs/>
        </w:rPr>
      </w:pPr>
      <w:r w:rsidRPr="00420343">
        <w:rPr>
          <w:b/>
          <w:bCs/>
        </w:rPr>
        <w:t>4.6</w:t>
      </w:r>
      <w:r w:rsidRPr="00420343">
        <w:rPr>
          <w:b/>
          <w:bCs/>
        </w:rPr>
        <w:t> </w:t>
      </w:r>
      <w:proofErr w:type="spellStart"/>
      <w:r w:rsidRPr="00420343">
        <w:rPr>
          <w:b/>
          <w:bCs/>
        </w:rPr>
        <w:t>Success</w:t>
      </w:r>
      <w:proofErr w:type="spellEnd"/>
      <w:r w:rsidRPr="00420343">
        <w:rPr>
          <w:b/>
          <w:bCs/>
        </w:rPr>
        <w:t xml:space="preserve"> criteria</w:t>
      </w:r>
    </w:p>
    <w:p w14:paraId="78E0EC0C" w14:textId="77777777" w:rsidR="00420343" w:rsidRPr="00420343" w:rsidRDefault="00420343" w:rsidP="00420343">
      <w:pPr>
        <w:numPr>
          <w:ilvl w:val="0"/>
          <w:numId w:val="11"/>
        </w:numPr>
        <w:rPr>
          <w:lang w:val="en-US"/>
        </w:rPr>
      </w:pPr>
      <w:r w:rsidRPr="00420343">
        <w:rPr>
          <w:b/>
          <w:bCs/>
          <w:lang w:val="en-US"/>
        </w:rPr>
        <w:t>Inference latency:</w:t>
      </w:r>
      <w:r w:rsidRPr="00420343">
        <w:rPr>
          <w:lang w:val="en-US"/>
        </w:rPr>
        <w:t xml:space="preserve"> ≤ 200 ms (Adult) / ≤ 1 s (largest) per row.</w:t>
      </w:r>
    </w:p>
    <w:p w14:paraId="67CC78F9" w14:textId="77777777" w:rsidR="00420343" w:rsidRPr="00420343" w:rsidRDefault="00420343" w:rsidP="00420343">
      <w:pPr>
        <w:numPr>
          <w:ilvl w:val="0"/>
          <w:numId w:val="11"/>
        </w:numPr>
        <w:rPr>
          <w:lang w:val="en-US"/>
        </w:rPr>
      </w:pPr>
      <w:r w:rsidRPr="00420343">
        <w:rPr>
          <w:b/>
          <w:bCs/>
          <w:lang w:val="en-US"/>
        </w:rPr>
        <w:t>Fairness drift:</w:t>
      </w:r>
      <w:r w:rsidRPr="00420343">
        <w:rPr>
          <w:lang w:val="en-US"/>
        </w:rPr>
        <w:t xml:space="preserve"> |</w:t>
      </w:r>
      <w:r w:rsidRPr="00420343">
        <w:t>Δ</w:t>
      </w:r>
      <w:r w:rsidRPr="00420343">
        <w:rPr>
          <w:lang w:val="en-US"/>
        </w:rPr>
        <w:t>-gap| &lt; 1 percentage-point for all groups.</w:t>
      </w:r>
    </w:p>
    <w:p w14:paraId="2A49E8F6" w14:textId="77777777" w:rsidR="00420343" w:rsidRPr="00420343" w:rsidRDefault="00420343" w:rsidP="00420343">
      <w:pPr>
        <w:numPr>
          <w:ilvl w:val="0"/>
          <w:numId w:val="11"/>
        </w:numPr>
        <w:rPr>
          <w:lang w:val="en-US"/>
        </w:rPr>
      </w:pPr>
      <w:r w:rsidRPr="00420343">
        <w:rPr>
          <w:b/>
          <w:bCs/>
          <w:lang w:val="en-US"/>
        </w:rPr>
        <w:t>Audit parity:</w:t>
      </w:r>
      <w:r w:rsidRPr="00420343">
        <w:rPr>
          <w:lang w:val="en-US"/>
        </w:rPr>
        <w:t xml:space="preserve"> HE LiRA TPR within 5 %-relative of plaintext audit.</w:t>
      </w:r>
    </w:p>
    <w:p w14:paraId="707AEC8C" w14:textId="77777777" w:rsidR="00420343" w:rsidRPr="00420343" w:rsidRDefault="00420343" w:rsidP="00420343">
      <w:pPr>
        <w:numPr>
          <w:ilvl w:val="0"/>
          <w:numId w:val="11"/>
        </w:numPr>
        <w:rPr>
          <w:lang w:val="en-US"/>
        </w:rPr>
      </w:pPr>
      <w:r w:rsidRPr="00420343">
        <w:rPr>
          <w:b/>
          <w:bCs/>
          <w:lang w:val="en-US"/>
        </w:rPr>
        <w:t>Encrypted RW training:</w:t>
      </w:r>
      <w:r w:rsidRPr="00420343">
        <w:rPr>
          <w:lang w:val="en-US"/>
        </w:rPr>
        <w:t xml:space="preserve"> ≤ 10 × plaintext wall-time, ≥ 98 % accuracy, fairness preserved.</w:t>
      </w:r>
    </w:p>
    <w:p w14:paraId="36D1A621" w14:textId="77777777" w:rsidR="00420343" w:rsidRPr="00420343" w:rsidRDefault="00420343" w:rsidP="00420343">
      <w:pPr>
        <w:rPr>
          <w:lang w:val="en-US"/>
        </w:rPr>
      </w:pPr>
      <w:r w:rsidRPr="00420343">
        <w:rPr>
          <w:lang w:val="en-US"/>
        </w:rPr>
        <w:t xml:space="preserve">Meeting these thresholds would show that </w:t>
      </w:r>
      <w:r w:rsidRPr="00420343">
        <w:rPr>
          <w:b/>
          <w:bCs/>
          <w:lang w:val="en-US"/>
        </w:rPr>
        <w:t>practitioners can deploy fair tabular models with homomorphic encryption, keep subgroup fairness intact, and still run rigorous low-FPR privacy audits</w:t>
      </w:r>
      <w:r w:rsidRPr="00420343">
        <w:rPr>
          <w:lang w:val="en-US"/>
        </w:rPr>
        <w:t>.</w:t>
      </w:r>
    </w:p>
    <w:p w14:paraId="4B9D796B" w14:textId="77777777" w:rsidR="00420343" w:rsidRPr="007023EA" w:rsidRDefault="00420343" w:rsidP="007023EA">
      <w:pPr>
        <w:rPr>
          <w:lang w:val="en-US"/>
        </w:rPr>
      </w:pPr>
    </w:p>
    <w:sectPr w:rsidR="00420343" w:rsidRPr="00702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871DA"/>
    <w:multiLevelType w:val="multilevel"/>
    <w:tmpl w:val="1848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91D70"/>
    <w:multiLevelType w:val="multilevel"/>
    <w:tmpl w:val="37B2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655B1"/>
    <w:multiLevelType w:val="multilevel"/>
    <w:tmpl w:val="6AB6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86BEE"/>
    <w:multiLevelType w:val="multilevel"/>
    <w:tmpl w:val="8BB0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D50A7"/>
    <w:multiLevelType w:val="multilevel"/>
    <w:tmpl w:val="C958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D567B"/>
    <w:multiLevelType w:val="multilevel"/>
    <w:tmpl w:val="09F2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53FAA"/>
    <w:multiLevelType w:val="multilevel"/>
    <w:tmpl w:val="1A5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01EF3"/>
    <w:multiLevelType w:val="multilevel"/>
    <w:tmpl w:val="00D0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8C5BAB"/>
    <w:multiLevelType w:val="multilevel"/>
    <w:tmpl w:val="1672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1787A"/>
    <w:multiLevelType w:val="multilevel"/>
    <w:tmpl w:val="6CA8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76BC5"/>
    <w:multiLevelType w:val="multilevel"/>
    <w:tmpl w:val="4DE0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060698">
    <w:abstractNumId w:val="3"/>
  </w:num>
  <w:num w:numId="2" w16cid:durableId="708182448">
    <w:abstractNumId w:val="0"/>
  </w:num>
  <w:num w:numId="3" w16cid:durableId="1619679953">
    <w:abstractNumId w:val="5"/>
  </w:num>
  <w:num w:numId="4" w16cid:durableId="135420577">
    <w:abstractNumId w:val="4"/>
  </w:num>
  <w:num w:numId="5" w16cid:durableId="1892767071">
    <w:abstractNumId w:val="1"/>
  </w:num>
  <w:num w:numId="6" w16cid:durableId="110326336">
    <w:abstractNumId w:val="7"/>
  </w:num>
  <w:num w:numId="7" w16cid:durableId="165368647">
    <w:abstractNumId w:val="8"/>
  </w:num>
  <w:num w:numId="8" w16cid:durableId="1336614087">
    <w:abstractNumId w:val="2"/>
  </w:num>
  <w:num w:numId="9" w16cid:durableId="940339289">
    <w:abstractNumId w:val="6"/>
  </w:num>
  <w:num w:numId="10" w16cid:durableId="473987095">
    <w:abstractNumId w:val="9"/>
  </w:num>
  <w:num w:numId="11" w16cid:durableId="370813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49"/>
    <w:rsid w:val="00015337"/>
    <w:rsid w:val="00033436"/>
    <w:rsid w:val="00296BD4"/>
    <w:rsid w:val="003C4A49"/>
    <w:rsid w:val="00420343"/>
    <w:rsid w:val="00516F8C"/>
    <w:rsid w:val="005620A8"/>
    <w:rsid w:val="007023EA"/>
    <w:rsid w:val="008B5A24"/>
    <w:rsid w:val="00A2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20C4E"/>
  <w15:chartTrackingRefBased/>
  <w15:docId w15:val="{2595A1EF-FDE6-484F-85C2-9F9D6945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1229</Words>
  <Characters>6764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Purkait</dc:creator>
  <cp:keywords/>
  <dc:description/>
  <cp:lastModifiedBy>Niloy Purkait</cp:lastModifiedBy>
  <cp:revision>6</cp:revision>
  <dcterms:created xsi:type="dcterms:W3CDTF">2025-07-01T12:03:00Z</dcterms:created>
  <dcterms:modified xsi:type="dcterms:W3CDTF">2025-07-01T12:21:00Z</dcterms:modified>
</cp:coreProperties>
</file>