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36F64B7"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 (1</w:t>
            </w:r>
            <w:r w:rsidR="00985BD9" w:rsidRPr="00E67067">
              <w:rPr>
                <w:rFonts w:ascii="Times New Roman" w:hAnsi="Times New Roman" w:cs="Times New Roman"/>
              </w:rPr>
              <w:t>0</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6401A">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4"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p>
          <w:p w14:paraId="12B3238D"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Installing Anaconda + </w:t>
            </w:r>
            <w:proofErr w:type="spellStart"/>
            <w:r w:rsidRPr="00C6401A">
              <w:rPr>
                <w:kern w:val="24"/>
                <w:sz w:val="20"/>
                <w:szCs w:val="20"/>
                <w:lang w:val="en-US"/>
              </w:rPr>
              <w:t>Jupyter</w:t>
            </w:r>
            <w:proofErr w:type="spellEnd"/>
            <w:r w:rsidRPr="00C6401A">
              <w:rPr>
                <w:kern w:val="24"/>
                <w:sz w:val="20"/>
                <w:szCs w:val="20"/>
                <w:lang w:val="en-US"/>
              </w:rPr>
              <w:t xml:space="preserve"> notebooks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1</w:t>
            </w:r>
          </w:p>
        </w:tc>
      </w:tr>
      <w:tr w:rsidR="00C6401A" w:rsidRPr="00C6401A" w14:paraId="4FE0AFE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237FF0E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Python for beginners (packages, data structures, file paths, operators, functions, loops etc.).</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971EF3E" w14:textId="48C3F61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What is an image? Metadata. Reading and writing multiband images. Compression. (NB. Labor Day 5th Sept)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2</w:t>
            </w:r>
          </w:p>
        </w:tc>
      </w:tr>
      <w:tr w:rsidR="00C6401A" w:rsidRPr="00C6401A" w14:paraId="0D492D39"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proofErr w:type="spellStart"/>
            <w:r w:rsidRPr="00C6401A">
              <w:rPr>
                <w:rFonts w:eastAsia="Calibri"/>
                <w:b/>
                <w:bCs/>
                <w:color w:val="000000"/>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436EDD4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Coordinate Reference Systems. Image reprojection.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528D665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3</w:t>
            </w:r>
          </w:p>
        </w:tc>
      </w:tr>
      <w:tr w:rsidR="00C6401A" w:rsidRPr="00C6401A" w14:paraId="6DC7346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43FCEFC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Obtaining satellite imagery via API scripting.</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3659AE8A"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4</w:t>
            </w:r>
          </w:p>
        </w:tc>
      </w:tr>
      <w:tr w:rsidR="00C6401A" w:rsidRPr="00C6401A" w14:paraId="2DBDDB50"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4404F8B"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Clipping (from single images to looping over multiple images).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666B88C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5</w:t>
            </w:r>
          </w:p>
        </w:tc>
      </w:tr>
      <w:tr w:rsidR="00C6401A" w:rsidRPr="00C6401A" w14:paraId="24B2F2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proofErr w:type="spellStart"/>
            <w:r w:rsidRPr="00C6401A">
              <w:rPr>
                <w:b/>
                <w:bCs/>
                <w:color w:val="000000" w:themeColor="text1"/>
                <w:kern w:val="24"/>
                <w:position w:val="8"/>
                <w:sz w:val="20"/>
                <w:szCs w:val="20"/>
                <w:vertAlign w:val="superscript"/>
              </w:rPr>
              <w:t>nd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0238328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Image enhancement.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6422744A"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6</w:t>
            </w:r>
          </w:p>
        </w:tc>
      </w:tr>
      <w:tr w:rsidR="00C6401A"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6401A" w:rsidRPr="00C6401A" w:rsidRDefault="00C6401A" w:rsidP="00C6401A">
            <w:pPr>
              <w:pStyle w:val="NormalWeb"/>
              <w:jc w:val="center"/>
              <w:rPr>
                <w:b/>
                <w:bCs/>
                <w:kern w:val="24"/>
                <w:sz w:val="20"/>
                <w:szCs w:val="20"/>
                <w:lang w:val="en-US"/>
              </w:rPr>
            </w:pPr>
            <w:r w:rsidRPr="00C6401A">
              <w:rPr>
                <w:b/>
                <w:bCs/>
                <w:kern w:val="24"/>
                <w:sz w:val="20"/>
                <w:szCs w:val="20"/>
                <w:lang w:val="en-US"/>
              </w:rPr>
              <w:t>Fall Break</w:t>
            </w:r>
          </w:p>
        </w:tc>
      </w:tr>
      <w:tr w:rsidR="00C6401A" w:rsidRPr="00C6401A" w14:paraId="4BA4A75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4736F1BC"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2174C7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Histograms and panel plots (Matplotlib).</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496BCE1F"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7</w:t>
            </w:r>
          </w:p>
        </w:tc>
      </w:tr>
      <w:tr w:rsidR="00C6401A" w:rsidRPr="00C6401A" w14:paraId="2F591E5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proofErr w:type="spellStart"/>
            <w:r w:rsidRPr="00C6401A">
              <w:rPr>
                <w:b/>
                <w:bCs/>
                <w:color w:val="000000" w:themeColor="text1"/>
                <w:kern w:val="24"/>
                <w:position w:val="8"/>
                <w:sz w:val="20"/>
                <w:szCs w:val="20"/>
                <w:vertAlign w:val="superscript"/>
              </w:rPr>
              <w:t>rd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1E49A8E"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Git version control.</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3A4C4F23"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8</w:t>
            </w:r>
          </w:p>
        </w:tc>
      </w:tr>
      <w:tr w:rsidR="00C6401A" w:rsidRPr="00C6401A" w14:paraId="10F79A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42F3775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Feature extraction from imagery.</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01F8CC46"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9</w:t>
            </w:r>
          </w:p>
        </w:tc>
      </w:tr>
      <w:tr w:rsidR="00C6401A" w:rsidRPr="00C6401A" w14:paraId="0F42F22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FE19249"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Introduction to </w:t>
            </w:r>
            <w:proofErr w:type="spellStart"/>
            <w:r w:rsidRPr="00C6401A">
              <w:rPr>
                <w:kern w:val="24"/>
                <w:sz w:val="20"/>
                <w:szCs w:val="20"/>
                <w:lang w:val="en-US"/>
              </w:rPr>
              <w:t>GeoPandas</w:t>
            </w:r>
            <w:proofErr w:type="spellEnd"/>
            <w:r w:rsidRPr="00C6401A">
              <w:rPr>
                <w:kern w:val="24"/>
                <w:sz w:val="20"/>
                <w:szCs w:val="20"/>
                <w:lang w:val="en-US"/>
              </w:rPr>
              <w:t xml:space="preserve"> (manipulation of spatial imagery layers and data). Coursework planning.</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2C2D21B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10</w:t>
            </w:r>
          </w:p>
        </w:tc>
      </w:tr>
      <w:tr w:rsidR="00C6401A" w:rsidRPr="00C6401A" w14:paraId="5C43F59F"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5EA7EBA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Image processing using </w:t>
            </w:r>
            <w:proofErr w:type="spellStart"/>
            <w:r w:rsidRPr="00C6401A">
              <w:rPr>
                <w:kern w:val="24"/>
                <w:sz w:val="20"/>
                <w:szCs w:val="20"/>
                <w:lang w:val="en-US"/>
              </w:rPr>
              <w:t>GeoPandas</w:t>
            </w:r>
            <w:proofErr w:type="spellEnd"/>
            <w:r w:rsidRPr="00C6401A">
              <w:rPr>
                <w:kern w:val="24"/>
                <w:sz w:val="20"/>
                <w:szCs w:val="20"/>
                <w:lang w:val="en-US"/>
              </w:rPr>
              <w:t xml:space="preserve"> functions and tools.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5434D06C"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proofErr w:type="spellStart"/>
            <w:r w:rsidRPr="00C6401A">
              <w:rPr>
                <w:b/>
                <w:bCs/>
                <w:color w:val="000000" w:themeColor="text1"/>
                <w:kern w:val="24"/>
                <w:position w:val="8"/>
                <w:sz w:val="20"/>
                <w:szCs w:val="20"/>
                <w:vertAlign w:val="superscript"/>
              </w:rPr>
              <w:t>st</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7AA705D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sidR="00EB4249">
              <w:rPr>
                <w:kern w:val="24"/>
                <w:sz w:val="20"/>
                <w:szCs w:val="20"/>
                <w:lang w:val="en-US"/>
              </w:rPr>
              <w:t xml:space="preserve"> </w:t>
            </w:r>
            <w:r w:rsidRPr="00C6401A">
              <w:rPr>
                <w:kern w:val="24"/>
                <w:sz w:val="20"/>
                <w:szCs w:val="20"/>
                <w:lang w:val="en-US"/>
              </w:rPr>
              <w:t>submission.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002E448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sidR="00AF501A">
              <w:rPr>
                <w:kern w:val="24"/>
                <w:sz w:val="20"/>
                <w:szCs w:val="20"/>
                <w:lang w:val="en-US"/>
              </w:rPr>
              <w: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6401A" w:rsidRPr="00C6401A" w:rsidRDefault="00AA7568" w:rsidP="00C6401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CEC5" w14:textId="77777777" w:rsidR="00A27B3F" w:rsidRDefault="00A27B3F" w:rsidP="00E149C0">
      <w:pPr>
        <w:spacing w:after="0" w:line="240" w:lineRule="auto"/>
      </w:pPr>
      <w:r>
        <w:separator/>
      </w:r>
    </w:p>
  </w:endnote>
  <w:endnote w:type="continuationSeparator" w:id="0">
    <w:p w14:paraId="798C57B2" w14:textId="77777777" w:rsidR="00A27B3F" w:rsidRDefault="00A27B3F"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E8A1" w14:textId="77777777" w:rsidR="00A27B3F" w:rsidRDefault="00A27B3F" w:rsidP="00E149C0">
      <w:pPr>
        <w:spacing w:after="0" w:line="240" w:lineRule="auto"/>
      </w:pPr>
      <w:r>
        <w:separator/>
      </w:r>
    </w:p>
  </w:footnote>
  <w:footnote w:type="continuationSeparator" w:id="0">
    <w:p w14:paraId="336C3AF3" w14:textId="77777777" w:rsidR="00A27B3F" w:rsidRDefault="00A27B3F"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21059"/>
    <w:rsid w:val="0014389A"/>
    <w:rsid w:val="001612DE"/>
    <w:rsid w:val="00176015"/>
    <w:rsid w:val="001847AC"/>
    <w:rsid w:val="001C2C61"/>
    <w:rsid w:val="001F479D"/>
    <w:rsid w:val="00204974"/>
    <w:rsid w:val="00215C41"/>
    <w:rsid w:val="002321A1"/>
    <w:rsid w:val="00236425"/>
    <w:rsid w:val="0024739F"/>
    <w:rsid w:val="00252493"/>
    <w:rsid w:val="00254232"/>
    <w:rsid w:val="002665EB"/>
    <w:rsid w:val="002863C6"/>
    <w:rsid w:val="002A0FA6"/>
    <w:rsid w:val="002A1712"/>
    <w:rsid w:val="002A2F39"/>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410AE"/>
    <w:rsid w:val="00654E1C"/>
    <w:rsid w:val="00660A66"/>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473B"/>
    <w:rsid w:val="009C394F"/>
    <w:rsid w:val="009F4AFB"/>
    <w:rsid w:val="009F4D2A"/>
    <w:rsid w:val="00A00A4B"/>
    <w:rsid w:val="00A27B3F"/>
    <w:rsid w:val="00A32276"/>
    <w:rsid w:val="00A3478D"/>
    <w:rsid w:val="00A3480E"/>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6401A"/>
    <w:rsid w:val="00C8057F"/>
    <w:rsid w:val="00CA69D8"/>
    <w:rsid w:val="00CB708B"/>
    <w:rsid w:val="00CC1AAC"/>
    <w:rsid w:val="00CC3AD3"/>
    <w:rsid w:val="00CD5403"/>
    <w:rsid w:val="00CD553C"/>
    <w:rsid w:val="00D01B3F"/>
    <w:rsid w:val="00D03FCE"/>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16</cp:revision>
  <cp:lastPrinted>2023-08-25T00:28:00Z</cp:lastPrinted>
  <dcterms:created xsi:type="dcterms:W3CDTF">2022-08-17T20:20:00Z</dcterms:created>
  <dcterms:modified xsi:type="dcterms:W3CDTF">2023-08-25T00:28:00Z</dcterms:modified>
</cp:coreProperties>
</file>