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sz w:val="56"/>
          <w:szCs w:val="56"/>
        </w:rPr>
        <w:t xml:space="preserve">PRIDE 2 — Lernleitfaden</w:t>
      </w:r>
    </w:p>
    <w:p>
      <w:pPr>
        <w:spacing w:after="400"/>
        <w:jc w:val="center"/>
      </w:pPr>
      <w:r>
        <w:rPr>
          <w:rFonts w:ascii="Calibri" w:cs="Calibri" w:eastAsia="Calibri" w:hAnsi="Calibri"/>
          <w:color w:val="555555"/>
          <w:sz w:val="28"/>
          <w:szCs w:val="28"/>
        </w:rPr>
        <w:t xml:space="preserve">Produktionsprozesse in der Elektronik — Klausur-Prognose</w:t>
      </w:r>
    </w:p>
    <w:p>
      <w:pPr>
        <w:spacing w:after="100"/>
        <w:jc w:val="center"/>
      </w:pPr>
      <w:r>
        <w:rPr>
          <w:rFonts w:ascii="Calibri" w:cs="Calibri" w:eastAsia="Calibri" w:hAnsi="Calibri"/>
          <w:i/>
          <w:iCs/>
          <w:sz w:val="22"/>
          <w:szCs w:val="22"/>
        </w:rPr>
        <w:t xml:space="preserve">Basierend auf der Analyse von 43 Altklausuren (2004–2025) und den aktuellen SS26-Vorlesungsmaterialien</w:t>
      </w:r>
    </w:p>
    <w:p>
      <w:pPr>
        <w:spacing w:after="500"/>
        <w:jc w:val="center"/>
      </w:pPr>
      <w:r>
        <w:rPr>
          <w:rFonts w:ascii="Calibri" w:cs="Calibri" w:eastAsia="Calibri" w:hAnsi="Calibri"/>
          <w:color w:val="777777"/>
          <w:sz w:val="20"/>
          <w:szCs w:val="20"/>
        </w:rPr>
        <w:t xml:space="preserve">Stand: September 2026</w:t>
      </w:r>
    </w:p>
    <w:p>
      <w:pPr>
        <w:pStyle w:val="Heading2"/>
        <w:spacing w:after="120" w:before="240"/>
      </w:pPr>
      <w:r>
        <w:rPr>
          <w:rFonts w:ascii="Calibri" w:cs="Calibri" w:eastAsia="Calibri" w:hAnsi="Calibri"/>
        </w:rPr>
        <w:t xml:space="preserve">So funktioniert dieses Dokument</w:t>
      </w:r>
    </w:p>
    <w:p>
      <w:pPr>
        <w:spacing w:after="120"/>
      </w:pPr>
      <w:r>
        <w:rPr>
          <w:rFonts w:ascii="Calibri" w:cs="Calibri" w:eastAsia="Calibri" w:hAnsi="Calibri"/>
          <w:b w:val="false"/>
          <w:bCs w:val="false"/>
          <w:i w:val="false"/>
          <w:iCs w:val="false"/>
          <w:sz w:val="22"/>
          <w:szCs w:val="22"/>
        </w:rPr>
        <w:t xml:space="preserve">Seit 2019 hat die PRIDE-2-Klausur eine feste Struktur: 13 Themenblöcke aus der Vorlesung (in fester Reihenfolge) + ein Übungsteil mit 3–5 Aufgaben zu Gastvorträgen externer Firmen. Innerhalb jedes Themenblocks rotiert die Klausur zwischen einer begrenzten Anzahl konkreter Fragevarianten. Dieses Dokument listet für jeden Themenblock alle bekannten Fragevarianten der letzten Klausuren (2019–2025), sortiert nach Wahrscheinlichkeit.</w:t>
      </w:r>
    </w:p>
    <w:p>
      <w:pPr>
        <w:spacing w:after="120"/>
      </w:pPr>
      <w:r>
        <w:rPr>
          <w:rFonts w:ascii="Calibri" w:cs="Calibri" w:eastAsia="Calibri" w:hAnsi="Calibri"/>
          <w:b w:val="false"/>
          <w:bCs w:val="false"/>
          <w:i/>
          <w:iCs/>
          <w:color w:val="555555"/>
          <w:sz w:val="20"/>
          <w:szCs w:val="20"/>
        </w:rPr>
        <w:t xml:space="preserve">Wichtiger Hinweis zur Methodik: Die Angaben zu Vorkommen/Häufigkeit stammen aus einer sorgfältigen, aber manuellen Auswertung der Altklausuren-PDFs. Es handelt sich um eine fundierte Einschätzung, keine Garantie – es kann trotzdem eine bisher nie gesehene Frage auftauchen.</w:t>
      </w:r>
    </w:p>
    <w:p>
      <w:pPr>
        <w:pStyle w:val="Heading2"/>
        <w:spacing w:after="120" w:before="240"/>
      </w:pPr>
      <w:r>
        <w:rPr>
          <w:rFonts w:ascii="Calibri" w:cs="Calibri" w:eastAsia="Calibri" w:hAnsi="Calibri"/>
        </w:rPr>
        <w:t xml:space="preserve">Prioritäts-Legende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c>
          <w:tcPr>
            <w:tcW w:type="dxa" w:w="2200"/>
            <w:shd w:fill="F8CBCB"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SEHR HOCH</w:t>
            </w:r>
          </w:p>
        </w:tc>
        <w:tc>
          <w:tcPr>
            <w:tcW w:type="dxa" w:w="8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Frage(-nfamilie) kam 3× oder öfter in den letzten Klausuren (2019–2025) vor, oder ist historisch ein extrem stabiler Fixpunkt. Höchste Lernpriorität.</w:t>
            </w:r>
          </w:p>
        </w:tc>
      </w:tr>
      <w:tr>
        <w:tc>
          <w:tcPr>
            <w:tcW w:type="dxa" w:w="2200"/>
            <w:shd w:fill="FDEBB1"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MITTEL</w:t>
            </w:r>
          </w:p>
        </w:tc>
        <w:tc>
          <w:tcPr>
            <w:tcW w:type="dxa" w:w="8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Frage kam 2× vor – Teil eines rotierenden Pools innerhalb des Themenblocks. Sollte beherrscht werden, ist aber nicht so sicher dran wie "Sehr hoch".</w:t>
            </w:r>
          </w:p>
        </w:tc>
      </w:tr>
      <w:tr>
        <w:tc>
          <w:tcPr>
            <w:tcW w:type="dxa" w:w="2200"/>
            <w:shd w:fill="C9EFD1"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NEU/MÖGLICH</w:t>
            </w:r>
          </w:p>
        </w:tc>
        <w:tc>
          <w:tcPr>
            <w:tcW w:type="dxa" w:w="8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Frage kam bisher nur 1× vor (meist 2022–2025). Da diese Themenblöcke aber grundsätzlich jedes Jahr wiederkehren, ist eine (evtl. leicht abgewandelte) Wiederholung möglich, aber unsicherer.</w:t>
            </w:r>
          </w:p>
        </w:tc>
      </w:tr>
    </w:tbl>
    <w:p>
      <w:pPr>
        <w:spacing w:after="300"/>
      </w:pPr>
      <w:r>
        <w:rPr>
          <w:rFonts w:ascii="Calibri" w:cs="Calibri" w:eastAsia="Calibri" w:hAnsi="Calibri"/>
          <w:b w:val="false"/>
          <w:bCs w:val="false"/>
          <w:i w:val="false"/>
          <w:iCs w:val="false"/>
          <w:sz w:val="20"/>
          <w:szCs w:val="20"/>
        </w:rPr>
        <w:t xml:space="preserve">Empfehlung: Lerne zuerst alle "SEHR HOCH"-Fragen in allen 13 Themenblöcken vollständig (das allein deckt historisch oft über 50% der Kernpunkte ab), dann "MITTEL", und überfliege "NEU/MÖGLICH" zumindest thematisch.</w:t>
      </w:r>
    </w:p>
    <w:p>
      <w:r>
        <w:br w:type="page"/>
      </w:r>
    </w:p>
    <w:p>
      <w:pPr>
        <w:pStyle w:val="Heading1"/>
        <w:spacing w:after="150" w:before="300"/>
      </w:pPr>
      <w:r>
        <w:rPr>
          <w:rFonts w:ascii="Calibri" w:cs="Calibri" w:eastAsia="Calibri" w:hAnsi="Calibri"/>
        </w:rPr>
        <w:t xml:space="preserve">1. Entwicklungsumgebung in der Elektronikproduktion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CAD/CAM-Verfahrenskette chronologisch nennen (Aufgabe je Schritt bzw. Unterschied zu rein mechanischer Baugruppe)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2022, 2024 (4x)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grundlegende Aufgaben einer Leiterplatte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2021, 2023, 2024 (4x)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Prozessschritte zur Herstellung einer zweiseitig mischbestückten Leiterplatte (THT+SMT) + ein Vorteil THT ggü. SMT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2023, 2025 (Sept.)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Beispiele für Design-Rules beim Leiterplattenlayout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Entwicklungsschritte Produktidee→Produkt (Grafik Elektronik-/Mechanikpfad beschriften) + Datenaustausch</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CAD-Datentypen für Bauelementbibliotheken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Routing-Algorithmus nennen und an Gitter-Grafik durchführen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geometrische Parameter für 3D-Schaltungsträger-Design (zusätzlich zu Design-Rules)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Wesentliche Prozessschritte SMD-Löten: Reflow vs. Welle gegenüberstellen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2025 (April)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2. Leiterplattenfertigung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Substratmaterial-Auswahl bei erhöhter thermischer Belastung: 3 Materialkennwerte nennen + Wirkung beschreiben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2024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Herstellungsprozess der Leiterplatte im Subtraktivverfahren in Stichworten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2022, 2025 (April)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Herstellungsprozess der Leiterplatte im Additivverfahren in Stichworten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Galvanische Metallabscheidung skizzieren, Einsatzzweck + Vergleich Abscheidungsraten zu chemischer Abscheidung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2025 (Sept.)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Substratmaterial-Werkstoffgruppen nennen + je 2 Beispielmaterialien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(1x, historisch häufig vor 2019)</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Herstellung von Kupferfolien zum Kaschieren skizzieren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Heißverzinnung: relevante Eigenschaften für Folgeprozesse; Vergleich chemische vs. heißverzinnte Zinnpassivierung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Symmetrischer vs. asymmetrischer Lagenaufbau skizzieren; Einfluss auf Maßhaltigkeit beim Löten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Eutektisches Bonden: Prinzip + beispielhafter Ablauf</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3. Bauelementtechnologie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Funktionen eines Bauelementgehäuses (Package) nennen (3 oder 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2024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Kontaktierungsverfahren für Flip-Chip im BGA-Gehäuse nennen/skizzieren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2021, 2025 (April)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Anwendungsfälle für bedrahtete Bauelemente + je ein konkretes Beispiel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2024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Bauteilcode interpretieren (z.B. CC0805) — meist gepaart mit obiger Frage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Prozessschritte der SMT-Montage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2021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BGA vs. QFP: Abkürzungen, je 2 Vor-/Nachteile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2025 (April) (1x, historisch Klassiker)</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Varianten Chip-On-Board-Technologie skizzieren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Gehaust vs. ungehaust: IC für HF-Signal wählen + thermische Anbindung begründen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Fertigungsschritte IC-Packaging ab prozessiertem Wafer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Bauelement-Skizze beschriften (Bauteiltyp erkennen)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Kategorien elektronischer Bauelemente nach Funktion nennen; Abkürzung+Bezeichnung von Bauteilen (z.B. MELF)</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2025 (Sept.) (1x, aktuell)</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4. Auftrag der Verbindungsmedien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Schablonendruckverfahren skizzieren/beschreiben + 3 Prozesseinflussgrößen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2023, 2025 (April)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Lotpastentyp anhand gegebener Apertur-Maße wählen (Daumenregel, Tabelle)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2025 (Sept.)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Herausforderungen der Miniaturisierung für Schablonendruck und Lotpasten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2022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Kriterien (Gleichung, Grenzwert, Name) für fertigungsgerechte Lotpastenschablonen-Auslegung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typische Fehlerbilder beim Schablonendruck von Lotpaste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Unter welchen Umständen werden Fixierklebstoffe zusätzlich zur Lotpaste verwendet?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Rotations-Schrauben-Dispenser skizzieren (mechanischer Aufbau)</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Schablonendruck vs. Dispensen: Mengenleistung/Flexibilität vergleichen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(1x, historisch häufig)</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5. Bestücktechnik – Komponenten und Systeme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Methode der optischen Zentrierung bei SMT-Bestückung skizzieren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2023, 2024 (4x)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Möglichkeiten der Bauelementzuführung/-bereitstellung in der SMT + je ein Vorteil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2023, 2025 (Sept.)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Anwendungsgebiete für handgeführte Bestückwerkzeuge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2025 (Sept.)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Positioniergenauigkeit vs. Bestückgenauigkeit erklären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Komponenten eines SMD-Bestückautomaten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Ursache für unerwartet lange Bestückzeit finden + Lösungsweg vorschlagen (Fallbeispiel)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Pick&amp;Place vs. Collect&amp;Place: Prinzip, Bestückleistung/-genauigkeit vergleichen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2025 (April) (2x, historisch sehr häufig)</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 "r" der Logistik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Informationen, die im Bestückprogramm enthalten sind</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Splicen am Bestückautomat: Prinzip + Vorteil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6. Verbindungstechnik und Löten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Dampfphasenlöten: je 3 Vor-/Nachteile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2023, 2025 (April) (4x)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Reflow-Temperaturprofil: Zonen im Reflowofen beschriften bzw. Phasen des Reflowprozesses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2023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Konvektions- vs. Kondensationslöten hinsichtlich Temperaturbelastung Peakzone/-verteilung bewerten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2025 (April) (2x, historisch VOR 2019 der Klassiker schlechthin)</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wichtigste Funktionen von Flussmitteln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mögliche Prinzipien zum Flussmittelauftrag beim Wellenlöten nennen (eines skizzieren)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2025 (Sept.)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Selektivlöten: Einsatzbereich, 2 Verfahren, ein Nachteil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Doppelwellenlötanlage: Wellen benennen + Aufgabe/Eigenschaften je Welle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(1x, historisch häufig)</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7. Qualitätssicherung und Maschinendiagnose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Badewannenkurve skizzieren + Ausfallraten der einzelnen Phasen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2022, 2024 (4x)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Qualität definieren und von Zuverlässigkeit abgrenzen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2023 (3x, oft mit Badewannenkurve kombiniert)</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AOI vs. elektrischer Test (ICT/FT): je erkennbare/nicht erkennbare Fehler; Zusatzinfo aus Schliffbildern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typische Fertigungsfehler bei elektrischen Baugruppen + jeweilige Ursache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IPC-Klassen (3) nennen: je Anforderung + Produktbeispiel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Wichtigstes Einzelmerkmal der Lötstellenbewertung + 3 Kennzeichen einer guten Weichlötverbindung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Anforderungen, die Elektronik-Lötstellen erfüllen müssen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zerstörungsfreie Prüfverfahren nennen; Rissbildungserkennung in Lötstellen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(1x, historisch VOR 2019 extrem häufig)</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bl>
    <w:p>
      <w:r>
        <w:br w:type="page"/>
      </w:r>
    </w:p>
    <w:p>
      <w:pPr>
        <w:pStyle w:val="Heading1"/>
        <w:spacing w:after="150" w:before="300"/>
      </w:pPr>
      <w:r>
        <w:rPr>
          <w:rFonts w:ascii="Calibri" w:cs="Calibri" w:eastAsia="Calibri" w:hAnsi="Calibri"/>
        </w:rPr>
        <w:t xml:space="preserve">8. Gedruckte Elektronik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Hauptdruckverfahren nach DIN 16500 skizzieren/beschriften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2024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Aerosoljet-Verfahren skizzieren/beschriften (schematischer Aufbau)</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2022, 2024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Leitfähigkeitsklassen von Funktionsmaterialien nennen + Anwendungsbeispiel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2023, 2025 (Sept.)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Prinzipien der Energieeinbringung zur Nachbehandlung + Beispiel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2021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flexible/hoch-flexible Druckverfahren nennen (eines skizzieren)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Piezojet-Verfahren skizzieren + Funktionsweise beschreiben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2025 (April)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Herausforderungen zuverlässiger gedruckter leitfähiger Strukturen + SMT-Integration auf additiv gefertigten Substraten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Netzdiagramme (Spider-Charts) den Druckverfahren zuordnen: Piezojet, Zeit-Druck-Dispenser, Nanojet, Multinozzle Inkjet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9. Fertigungsverfahren für MEMS und Solarzellen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eingesetzte Zelltechnologien zur PV-Modulherstellung nach Wirkungsgrad ordnen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2025 (Sept.)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Solarzellentyp für ein Rucksack-Ladegerät wählen + mit 2 Stichpunkten begründen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2023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Ansätze zur Wirkungsgraderhöhung polykristalliner Si-Dickschichtmodule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2023, 2025 (April)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Dotierverfahren nennen + typische p-/n-Dotierelemente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2023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Konzentratorzellen-Technologie skizzieren + je 2 Vor-/Nachteile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Greifertypen für Si-Wafer-Handling + Nachteil; Herausforderung dünnerer Zellen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(1x, historisch VOR 2019 sehr häufig)</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Aufbau einer Ionenimplantationsanlage skizzieren/benennen; Einsatzzweck bei Bauelementen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Deep Reactive Ion Etching: Prozessschritte, zugrundeliegendes Ätzverfahren, Ätzwirkung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Alternative Lötverfahren zu IR-/Konvektionslöten für Solarzellen-Stringing + Vor-/Nachteil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2025 (April)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10. Flexible &amp; dreidimensionale Schaltungsträger (3D-MID)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3D-MID-Potenziale nennen: je 3 produktseitige und prozessseitige Vorteile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2021, 2022, 2024 (5x — Fixpunkt!)</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Prozessschritte der LDS-Technologie + typischer Schichtaufbau der Metallisierung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2022, 2024, 2025 (Sept.) (4x)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Effekte der Laseraktivierung im LDS-Prozess erläutern + verwendeten Lasertyp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2023, 2025 (April)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Schritte des Referenzprozesses für spritzgegossene Schaltungsträger (Heißprägen/2K-Spritzguss einordnen)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2024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Anwendungen der MID-Technologie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2025 (April)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LDS vs. 2K-Spritzguss: je 2 Vor-/Nachteile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MID-spezifische AVT-Herausforderungen durch Dreidimensionalität (4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bl>
    <w:p>
      <w:r>
        <w:br w:type="page"/>
      </w:r>
    </w:p>
    <w:p>
      <w:pPr>
        <w:pStyle w:val="Heading1"/>
        <w:spacing w:after="150" w:before="300"/>
      </w:pPr>
      <w:r>
        <w:rPr>
          <w:rFonts w:ascii="Calibri" w:cs="Calibri" w:eastAsia="Calibri" w:hAnsi="Calibri"/>
        </w:rPr>
        <w:t xml:space="preserve">11. Leitkleben als alternatives Verbindungsverfahren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technologische Varianten des Leitklebens nennen und skizzieren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2021, 2023, 2025 (April) (4x — Fixpunkt!)</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Qualitatives Diagramm: Zusammenhang Füllstoffanteil leitfähiger Füllstoffe ↔ elektrische Leitfähigkeit (isotrope Leitklebstoffe)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2025 (Sept.)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Verfahren zum Klebstoffauftrag nennen + je charakteristisches Merkmal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charakteristische Kenngrößen von Leitklebstoffen, die für die Verarbeitung relevant sind</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Arten von Teilwiderständen beim isotropen Leitkleben, die den Gesamtwiderstand beeinflussen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Klebeverfahren wählen: Fallbeispiel Hörgerät-Chip (Fine-Pitch) vs. SMD-Widerstand auf 3D-Schaltungsträger</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Ungefüllte Klebstoffe: je zwei Vor-/Nachteile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12. Aufbau- und Verbindungstechnik der Leistungselektronik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Alternativen zum klassischen Löten in der Leistungselektronik-AVT nennen + je Vor-/Nachteil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2021, 2024, 2025 (Sept.) (5x — Fixpunkt!)</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Module mit/ohne Grundplatte: je ein Vor-/Nachteil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2025 (April)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Alternative hochtemperaturstabile Fügetechnologie zu SnAg-Lot wählen + Begründung via homologer Temperatur (Fallbeispiel)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2024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grundlegende Anforderungen an die AVT für Leistungselektronik</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Bauformtyp anhand eines Bildes bestimmen + Unterscheidungsmerkmale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Kraftschlüssiges Ankontaktierungsverfahren nennen + Vor-/Nachteil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13. Future Trends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Zustandsabhängige Reinigung von Druckschablonen (Predictive Maintenance): Konzept + 2 Potenziale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2021, 2022, 2025 (April) (4x — Fixpunkt!)</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OPTAVER-Prozess: Schritte nennen; Abkürzung POW auflösen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2021, 2023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Vorteile laserbasierter Trocknung gedruckter Leiterzüge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2022, 2024 (3x)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Parameter zur Lebensdaueruntersuchung von Bonddrähten (Designverbesserung Leistungsmodule)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Potenziale von Machine Learning in der optischen Nachprüfung der SMT-Fertigung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Potenziale des Hartvergusses in der Leistungselektronik</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Ansätze entlang des Lebenszyklus einer Baugruppe für nachhaltigere Fertigung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2025 (Sept.) (1x, aktuell)</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r>
        <w:br w:type="page"/>
      </w:r>
    </w:p>
    <w:p>
      <w:pPr>
        <w:pStyle w:val="Heading1"/>
        <w:spacing w:after="150" w:before="300"/>
      </w:pPr>
      <w:r>
        <w:rPr>
          <w:rFonts w:ascii="Calibri" w:cs="Calibri" w:eastAsia="Calibri" w:hAnsi="Calibri"/>
        </w:rPr>
        <w:t xml:space="preserve">14. Übungsteil (Gastvorträge externer Firmen)</w:t>
      </w:r>
    </w:p>
    <w:p>
      <w:pPr>
        <w:spacing w:after="120"/>
      </w:pPr>
      <w:r>
        <w:rPr>
          <w:rFonts w:ascii="Calibri" w:cs="Calibri" w:eastAsia="Calibri" w:hAnsi="Calibri"/>
          <w:b w:val="false"/>
          <w:bCs w:val="false"/>
          <w:i w:val="false"/>
          <w:iCs w:val="false"/>
          <w:sz w:val="22"/>
          <w:szCs w:val="22"/>
        </w:rPr>
        <w:t xml:space="preserve">Der Übungsteil macht historisch ca. 20–28% der Gesamtpunkte aus (ca. 18–25 von 90 Punkten). Er besteht aus zwei Arten von Fragen: (A) generische, firmenunabhängige Klassiker, die unabhängig vom Gastvortrag immer wieder gefragt werden, und (B) firmenspezifisches Detailwissen aus dem jeweiligen Gastvortrag.</w:t>
      </w:r>
    </w:p>
    <w:p>
      <w:pPr>
        <w:pStyle w:val="Heading2"/>
        <w:spacing w:after="120" w:before="240"/>
      </w:pPr>
      <w:r>
        <w:rPr>
          <w:rFonts w:ascii="Calibri" w:cs="Calibri" w:eastAsia="Calibri" w:hAnsi="Calibri"/>
        </w:rPr>
        <w:t xml:space="preserve">14.1 Generische Klassiker (unabhängig von der Firma)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2600"/>
        <w:gridCol w:w="1600"/>
      </w:tblGrid>
      <w:tr>
        <w:trPr>
          <w:tblHeader/>
        </w:trPr>
        <w:tc>
          <w:tcPr>
            <w:tcW w:type="dxa" w:w="6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Frage / Themenvariante</w:t>
            </w:r>
          </w:p>
        </w:tc>
        <w:tc>
          <w:tcPr>
            <w:tcW w:type="dxa" w:w="2600"/>
            <w:shd w:fill="2B3A55"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Vorkommen (Klausurjahre)</w:t>
            </w:r>
          </w:p>
        </w:tc>
        <w:tc>
          <w:tcPr>
            <w:tcW w:type="dxa" w:w="1600"/>
            <w:shd w:fill="2B3A55"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Priorität</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Faktoren nennen, von denen der Erwärmungsgrad der Leiterplatte abhängt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2019, 2020, 2022, 2023 (5x — Fixpunkt!)</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Prozessschritte des Wellenlötens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2019, 2020, 2021, 2024 (4x)</w:t>
            </w:r>
          </w:p>
        </w:tc>
        <w:tc>
          <w:tcPr>
            <w:tcW w:type="dxa" w:w="1600"/>
            <w:shd w:fill="F8CBCB"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SEHR HOCH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Aufgaben der Vorheizung vor dem Wellenlötprozess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2021, 2022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Benetzbare vs. nicht benetzbare Düsen beim Selektivwellenlöten (Lotfluss, Benetzungsbreite, Wartung)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2025 (April)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Herausforderungen der Röntgeninspektion (2 nennen)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2022, 2025 (April) (2x)</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Konzept des digitalen Zwillings + Vorteile für Produktdesign/Produktionsplanung/Dienstleistungen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2020, 2021, 2022 (3x, seit 2023 aber nicht mehr aufgetaucht)</w:t>
            </w:r>
          </w:p>
        </w:tc>
        <w:tc>
          <w:tcPr>
            <w:tcW w:type="dxa" w:w="1600"/>
            <w:shd w:fill="FDEBB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MITTEL</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Hauptgründe für die Nutzung von Edge-Geräten im industriellen Umfeld</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Flowchart zu einem KI-Assistenzsystem zur Reduktion von Pseudofehlern in der Röntgeninspektion vervollständigen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2023 (1x, neu)</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r>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SMT-Anlagenbilder in die richtige Prozessreihenfolge bringen, benennen und Prozess beschreiben</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8"/>
                <w:szCs w:val="18"/>
              </w:rPr>
              <w:t xml:space="preserve">2024 (1x, neu — Vorläufer der "Trainalytics"-Aufgabe 2025)</w:t>
            </w:r>
          </w:p>
        </w:tc>
        <w:tc>
          <w:tcPr>
            <w:tcW w:type="dxa" w:w="1600"/>
            <w:shd w:fill="C9EFD1" w:val="clear"/>
            <w:tcMar>
              <w:top w:type="dxa" w:w="80"/>
              <w:left w:type="dxa" w:w="100"/>
              <w:bottom w:type="dxa" w:w="80"/>
              <w:right w:type="dxa" w:w="100"/>
            </w:tcMar>
            <w:vAlign w:val="center"/>
          </w:tcPr>
          <w:p>
            <w:pPr>
              <w:jc w:val="center"/>
            </w:pPr>
            <w:r>
              <w:rPr>
                <w:rFonts w:ascii="Calibri" w:cs="Calibri" w:eastAsia="Calibri" w:hAnsi="Calibri"/>
                <w:b/>
                <w:bCs/>
                <w:sz w:val="18"/>
                <w:szCs w:val="18"/>
              </w:rPr>
              <w:t xml:space="preserve">NEU/MÖGLICH</w:t>
            </w:r>
          </w:p>
        </w:tc>
      </w:tr>
    </w:tbl>
    <w:p>
      <w:pPr>
        <w:pStyle w:val="Heading2"/>
        <w:spacing w:after="120" w:before="240"/>
      </w:pPr>
      <w:r>
        <w:rPr>
          <w:rFonts w:ascii="Calibri" w:cs="Calibri" w:eastAsia="Calibri" w:hAnsi="Calibri"/>
        </w:rPr>
        <w:t xml:space="preserve">14.2 Firmenspezifisch für 2026 (bestätigt durch aktuelle SS26-Materialien)</w:t>
      </w:r>
    </w:p>
    <w:p>
      <w:pPr>
        <w:spacing w:after="120"/>
      </w:pPr>
      <w:r>
        <w:rPr>
          <w:rFonts w:ascii="Calibri" w:cs="Calibri" w:eastAsia="Calibri" w:hAnsi="Calibri"/>
          <w:b w:val="false"/>
          <w:bCs w:val="false"/>
          <w:i w:val="false"/>
          <w:iCs w:val="false"/>
          <w:sz w:val="22"/>
          <w:szCs w:val="22"/>
        </w:rPr>
        <w:t xml:space="preserve">Von den 5 Firmen aus der Klausur September 2025 (Trainalytics, Siemens EWA, BMK Group, Kronos Mechatronics, SEHO Systems) sind 3 auch 2026 wieder als Gastvortrags-Partner bestätigt: Trainalytics, Kronos Mechatronics und SEHO Systems. Ihre Vortragsinhalte wurden mit den hochgeladenen SS26-Foliensätzen abgeglichen.</w:t>
      </w:r>
    </w:p>
    <w:p>
      <w:pPr>
        <w:pStyle w:val="Heading3"/>
        <w:spacing w:after="100" w:before="180"/>
      </w:pPr>
      <w:r>
        <w:rPr>
          <w:rFonts w:ascii="Calibri" w:cs="Calibri" w:eastAsia="Calibri" w:hAnsi="Calibri"/>
        </w:rPr>
        <w:t xml:space="preserve">Kronos Mechatronics — "3D Printed Electronics via Additive Manufacturing"</w:t>
      </w:r>
    </w:p>
    <w:p>
      <w:pPr>
        <w:spacing w:after="120"/>
      </w:pPr>
      <w:r>
        <w:rPr>
          <w:rFonts w:ascii="Calibri" w:cs="Calibri" w:eastAsia="Calibri" w:hAnsi="Calibri"/>
          <w:b/>
          <w:bCs/>
          <w:i w:val="false"/>
          <w:iCs w:val="false"/>
          <w:color w:val="B33A3A"/>
          <w:sz w:val="22"/>
          <w:szCs w:val="22"/>
        </w:rPr>
        <w:t xml:space="preserve">Einschätzung: SEHR HOCH — die 2026er-Folien zeigen exakt dieselbe Prozesskette wie die Klausurfrage von September 2025.</w:t>
      </w:r>
    </w:p>
    <w:p>
      <w:pPr>
        <w:pStyle w:val="ListParagraph"/>
        <w:numPr>
          <w:ilvl w:val="0"/>
          <w:numId w:val="2"/>
        </w:numPr>
        <w:spacing w:after="60"/>
      </w:pPr>
      <w:r>
        <w:rPr>
          <w:rFonts w:ascii="Calibri" w:cs="Calibri" w:eastAsia="Calibri" w:hAnsi="Calibri"/>
          <w:b w:val="false"/>
          <w:bCs w:val="false"/>
          <w:sz w:val="21"/>
          <w:szCs w:val="21"/>
        </w:rPr>
        <w:t xml:space="preserve">5-Schritte-Prozesskette additiv gefertigter mechatronisch integrierter Baugruppen nennen/beschreiben:</w:t>
      </w:r>
    </w:p>
    <w:p>
      <w:pPr>
        <w:pStyle w:val="ListParagraph"/>
        <w:numPr>
          <w:ilvl w:val="1"/>
          <w:numId w:val="2"/>
        </w:numPr>
        <w:spacing w:after="40"/>
      </w:pPr>
      <w:r>
        <w:rPr>
          <w:rFonts w:ascii="Calibri" w:cs="Calibri" w:eastAsia="Calibri" w:hAnsi="Calibri"/>
          <w:sz w:val="21"/>
          <w:szCs w:val="21"/>
        </w:rPr>
        <w:t xml:space="preserve">1. Pre-Processing (Part Input bzw. Structural Build)</w:t>
      </w:r>
    </w:p>
    <w:p>
      <w:pPr>
        <w:pStyle w:val="ListParagraph"/>
        <w:numPr>
          <w:ilvl w:val="1"/>
          <w:numId w:val="2"/>
        </w:numPr>
        <w:spacing w:after="40"/>
      </w:pPr>
      <w:r>
        <w:rPr>
          <w:rFonts w:ascii="Calibri" w:cs="Calibri" w:eastAsia="Calibri" w:hAnsi="Calibri"/>
          <w:sz w:val="21"/>
          <w:szCs w:val="21"/>
        </w:rPr>
        <w:t xml:space="preserve">2. SMD Placement (Machining SMD Pockets, Dispense Adhesive, Place SMD in Pocket, Cure Adhesive)</w:t>
      </w:r>
    </w:p>
    <w:p>
      <w:pPr>
        <w:pStyle w:val="ListParagraph"/>
        <w:numPr>
          <w:ilvl w:val="1"/>
          <w:numId w:val="2"/>
        </w:numPr>
        <w:spacing w:after="40"/>
      </w:pPr>
      <w:r>
        <w:rPr>
          <w:rFonts w:ascii="Calibri" w:cs="Calibri" w:eastAsia="Calibri" w:hAnsi="Calibri"/>
          <w:sz w:val="21"/>
          <w:szCs w:val="21"/>
        </w:rPr>
        <w:t xml:space="preserve">3. Print (Machining Print Areas, Print Main Circuit, Print Interconnects mit Adaptive Tool-Path)</w:t>
      </w:r>
    </w:p>
    <w:p>
      <w:pPr>
        <w:pStyle w:val="ListParagraph"/>
        <w:numPr>
          <w:ilvl w:val="1"/>
          <w:numId w:val="2"/>
        </w:numPr>
        <w:spacing w:after="40"/>
      </w:pPr>
      <w:r>
        <w:rPr>
          <w:rFonts w:ascii="Calibri" w:cs="Calibri" w:eastAsia="Calibri" w:hAnsi="Calibri"/>
          <w:sz w:val="21"/>
          <w:szCs w:val="21"/>
        </w:rPr>
        <w:t xml:space="preserve">4. Post-Process (Inline Cure/Sinter)</w:t>
      </w:r>
    </w:p>
    <w:p>
      <w:pPr>
        <w:pStyle w:val="ListParagraph"/>
        <w:numPr>
          <w:ilvl w:val="1"/>
          <w:numId w:val="2"/>
        </w:numPr>
        <w:spacing w:after="100"/>
      </w:pPr>
      <w:r>
        <w:rPr>
          <w:rFonts w:ascii="Calibri" w:cs="Calibri" w:eastAsia="Calibri" w:hAnsi="Calibri"/>
          <w:sz w:val="21"/>
          <w:szCs w:val="21"/>
        </w:rPr>
        <w:t xml:space="preserve">5. Fertiges 3D-PE-Bauteil</w:t>
      </w:r>
    </w:p>
    <w:p>
      <w:pPr>
        <w:pStyle w:val="ListParagraph"/>
        <w:numPr>
          <w:ilvl w:val="0"/>
          <w:numId w:val="2"/>
        </w:numPr>
        <w:spacing w:after="60"/>
      </w:pPr>
      <w:r>
        <w:rPr>
          <w:rFonts w:ascii="Calibri" w:cs="Calibri" w:eastAsia="Calibri" w:hAnsi="Calibri"/>
          <w:b w:val="false"/>
          <w:bCs w:val="false"/>
          <w:sz w:val="21"/>
          <w:szCs w:val="21"/>
        </w:rPr>
        <w:t xml:space="preserve">Zwei Fertigungsmethoden unterscheiden: Method 1 "Print on existing 3D parts" vs. Method 2 "Fully Additive" (Kombination mit FDM/SLS/SLA)</w:t>
      </w:r>
    </w:p>
    <w:p>
      <w:pPr>
        <w:pStyle w:val="ListParagraph"/>
        <w:numPr>
          <w:ilvl w:val="0"/>
          <w:numId w:val="2"/>
        </w:numPr>
        <w:spacing w:after="60"/>
      </w:pPr>
      <w:r>
        <w:rPr>
          <w:rFonts w:ascii="Calibri" w:cs="Calibri" w:eastAsia="Calibri" w:hAnsi="Calibri"/>
          <w:b w:val="false"/>
          <w:bCs w:val="false"/>
          <w:sz w:val="21"/>
          <w:szCs w:val="21"/>
        </w:rPr>
        <w:t xml:space="preserve">Kontaktlose Drucktechnologien je nach Tintenviskosität wählen können: Aerosol-Jet/Nanojet, Single-Nozzle-Inkjet, Piezo-Jet, Needle-/Auger-Dispensing (ca. 10 mPas bis 500.000 mPas)</w:t>
      </w:r>
    </w:p>
    <w:p>
      <w:pPr>
        <w:pStyle w:val="ListParagraph"/>
        <w:numPr>
          <w:ilvl w:val="0"/>
          <w:numId w:val="2"/>
        </w:numPr>
        <w:spacing w:after="60"/>
      </w:pPr>
      <w:r>
        <w:rPr>
          <w:rFonts w:ascii="Calibri" w:cs="Calibri" w:eastAsia="Calibri" w:hAnsi="Calibri"/>
          <w:b w:val="false"/>
          <w:bCs w:val="false"/>
          <w:sz w:val="21"/>
          <w:szCs w:val="21"/>
        </w:rPr>
        <w:t xml:space="preserve">Integration von SMD-Bauteilen per Pick&amp;Place plus gedruckten Interconnects erklären können</w:t>
      </w:r>
    </w:p>
    <w:p>
      <w:pPr>
        <w:pStyle w:val="Heading3"/>
        <w:spacing w:after="100" w:before="180"/>
      </w:pPr>
      <w:r>
        <w:rPr>
          <w:rFonts w:ascii="Calibri" w:cs="Calibri" w:eastAsia="Calibri" w:hAnsi="Calibri"/>
        </w:rPr>
        <w:t xml:space="preserve">Trainalytics — IPC-Normen &amp; Qualitätssicherung</w:t>
      </w:r>
    </w:p>
    <w:p>
      <w:pPr>
        <w:spacing w:after="120"/>
      </w:pPr>
      <w:r>
        <w:rPr>
          <w:rFonts w:ascii="Calibri" w:cs="Calibri" w:eastAsia="Calibri" w:hAnsi="Calibri"/>
          <w:b/>
          <w:bCs/>
          <w:i w:val="false"/>
          <w:iCs w:val="false"/>
          <w:color w:val="9A7B1A"/>
          <w:sz w:val="22"/>
          <w:szCs w:val="22"/>
        </w:rPr>
        <w:t xml:space="preserve">Einschätzung: NEU — 2026er Fokus unterscheidet sich komplett von der 2025er-Klausurfrage (damals: SMT-Anlagen benennen). Diese Themen sind daher noch nicht "erprobt", aber sehr wahrscheinlich Basis der 2026er-Frage.</w:t>
      </w:r>
    </w:p>
    <w:p>
      <w:pPr>
        <w:pStyle w:val="ListParagraph"/>
        <w:numPr>
          <w:ilvl w:val="0"/>
          <w:numId w:val="2"/>
        </w:numPr>
        <w:spacing w:after="60"/>
      </w:pPr>
      <w:r>
        <w:rPr>
          <w:rFonts w:ascii="Calibri" w:cs="Calibri" w:eastAsia="Calibri" w:hAnsi="Calibri"/>
          <w:b w:val="false"/>
          <w:bCs w:val="false"/>
          <w:sz w:val="21"/>
          <w:szCs w:val="21"/>
        </w:rPr>
        <w:t xml:space="preserve">Die 3 Produktklassen nach IPC (1 = gewöhnlich, 2 = zweckbestimmt, 3 = Hochleistung/Medizin/Militär/Avionik) — wer legt die Klassenzuordnung fest? (Antwort: der Kunde/Auftraggeber)</w:t>
      </w:r>
    </w:p>
    <w:p>
      <w:pPr>
        <w:pStyle w:val="ListParagraph"/>
        <w:numPr>
          <w:ilvl w:val="0"/>
          <w:numId w:val="2"/>
        </w:numPr>
        <w:spacing w:after="60"/>
      </w:pPr>
      <w:r>
        <w:rPr>
          <w:rFonts w:ascii="Calibri" w:cs="Calibri" w:eastAsia="Calibri" w:hAnsi="Calibri"/>
          <w:b w:val="false"/>
          <w:bCs w:val="false"/>
          <w:sz w:val="21"/>
          <w:szCs w:val="21"/>
        </w:rPr>
        <w:t xml:space="preserve">Die 4 Abnahmezustände: Idealzustand (Zielwert), Abnahmezustand (Zulässig), Fehlerzustand (Unzulässig), Prozessindikator (PI)</w:t>
      </w:r>
    </w:p>
    <w:p>
      <w:pPr>
        <w:pStyle w:val="ListParagraph"/>
        <w:numPr>
          <w:ilvl w:val="0"/>
          <w:numId w:val="2"/>
        </w:numPr>
        <w:spacing w:after="60"/>
      </w:pPr>
      <w:r>
        <w:rPr>
          <w:rFonts w:ascii="Calibri" w:cs="Calibri" w:eastAsia="Calibri" w:hAnsi="Calibri"/>
          <w:b w:val="false"/>
          <w:bCs w:val="false"/>
          <w:sz w:val="21"/>
          <w:szCs w:val="21"/>
        </w:rPr>
        <w:t xml:space="preserve">Benetzung als wichtigstes Lötstellenmerkmal: Kontaktwinkel, Hohlkehle, keine Entnetzung/keine Brücken</w:t>
      </w:r>
    </w:p>
    <w:p>
      <w:pPr>
        <w:pStyle w:val="ListParagraph"/>
        <w:numPr>
          <w:ilvl w:val="0"/>
          <w:numId w:val="2"/>
        </w:numPr>
        <w:spacing w:after="60"/>
      </w:pPr>
      <w:r>
        <w:rPr>
          <w:rFonts w:ascii="Calibri" w:cs="Calibri" w:eastAsia="Calibri" w:hAnsi="Calibri"/>
          <w:b w:val="false"/>
          <w:bCs w:val="false"/>
          <w:sz w:val="21"/>
          <w:szCs w:val="21"/>
        </w:rPr>
        <w:t xml:space="preserve">"Billboarding" definieren: Seitenlage von Chip-Bauteilen; wann zulässig? (Bauteil ≤1206 und Breite ≤ 2× Höhe)</w:t>
      </w:r>
    </w:p>
    <w:p>
      <w:pPr>
        <w:pStyle w:val="ListParagraph"/>
        <w:numPr>
          <w:ilvl w:val="0"/>
          <w:numId w:val="2"/>
        </w:numPr>
        <w:spacing w:after="60"/>
      </w:pPr>
      <w:r>
        <w:rPr>
          <w:rFonts w:ascii="Calibri" w:cs="Calibri" w:eastAsia="Calibri" w:hAnsi="Calibri"/>
          <w:b w:val="false"/>
          <w:bCs w:val="false"/>
          <w:sz w:val="21"/>
          <w:szCs w:val="21"/>
        </w:rPr>
        <w:t xml:space="preserve">AOI/SPI im Prozessregelkreis: Reihenfolge Lotpaste drucken → SPI → Bauteile platzieren → Reflowlöten → AOI</w:t>
      </w:r>
    </w:p>
    <w:p>
      <w:pPr>
        <w:pStyle w:val="ListParagraph"/>
        <w:numPr>
          <w:ilvl w:val="0"/>
          <w:numId w:val="2"/>
        </w:numPr>
        <w:spacing w:after="60"/>
      </w:pPr>
      <w:r>
        <w:rPr>
          <w:rFonts w:ascii="Calibri" w:cs="Calibri" w:eastAsia="Calibri" w:hAnsi="Calibri"/>
          <w:b w:val="false"/>
          <w:bCs w:val="false"/>
          <w:sz w:val="21"/>
          <w:szCs w:val="21"/>
        </w:rPr>
        <w:t xml:space="preserve">Deming-Zyklus (PDCA) zur Einbindung der Inspektion in den Prozess</w:t>
      </w:r>
    </w:p>
    <w:p>
      <w:pPr>
        <w:pStyle w:val="ListParagraph"/>
        <w:numPr>
          <w:ilvl w:val="0"/>
          <w:numId w:val="2"/>
        </w:numPr>
        <w:spacing w:after="60"/>
      </w:pPr>
      <w:r>
        <w:rPr>
          <w:rFonts w:ascii="Calibri" w:cs="Calibri" w:eastAsia="Calibri" w:hAnsi="Calibri"/>
          <w:b w:val="false"/>
          <w:bCs w:val="false"/>
          <w:sz w:val="21"/>
          <w:szCs w:val="21"/>
        </w:rPr>
        <w:t xml:space="preserve">10er-Regel der Fehlerkosten</w:t>
      </w:r>
    </w:p>
    <w:p>
      <w:pPr>
        <w:pStyle w:val="Heading3"/>
        <w:spacing w:after="100" w:before="180"/>
      </w:pPr>
      <w:r>
        <w:rPr>
          <w:rFonts w:ascii="Calibri" w:cs="Calibri" w:eastAsia="Calibri" w:hAnsi="Calibri"/>
        </w:rPr>
        <w:t xml:space="preserve">SEHO Systems — Wellenlöten &amp; Selektivlöten</w:t>
      </w:r>
    </w:p>
    <w:p>
      <w:pPr>
        <w:spacing w:after="120"/>
      </w:pPr>
      <w:r>
        <w:rPr>
          <w:rFonts w:ascii="Calibri" w:cs="Calibri" w:eastAsia="Calibri" w:hAnsi="Calibri"/>
          <w:b/>
          <w:bCs/>
          <w:i w:val="false"/>
          <w:iCs w:val="false"/>
          <w:color w:val="9A7B1A"/>
          <w:sz w:val="22"/>
          <w:szCs w:val="22"/>
        </w:rPr>
        <w:t xml:space="preserve">Einschätzung: NEU — 2026er Fokus unterscheidet sich komplett von der 2025er-Klausurfrage (damals: Lotnachfüllung/Legierungsanteile/Verunreinigungen im Lotbad). Diese Themen sind daher noch nicht "erprobt", aber sehr wahrscheinlich Basis der 2026er-Frage.</w:t>
      </w:r>
    </w:p>
    <w:p>
      <w:pPr>
        <w:pStyle w:val="ListParagraph"/>
        <w:numPr>
          <w:ilvl w:val="0"/>
          <w:numId w:val="2"/>
        </w:numPr>
        <w:spacing w:after="60"/>
      </w:pPr>
      <w:r>
        <w:rPr>
          <w:rFonts w:ascii="Calibri" w:cs="Calibri" w:eastAsia="Calibri" w:hAnsi="Calibri"/>
          <w:b w:val="false"/>
          <w:bCs w:val="false"/>
          <w:sz w:val="21"/>
          <w:szCs w:val="21"/>
        </w:rPr>
        <w:t xml:space="preserve">Aufbau einer Wellenlötanlage: Flussmittelauftrag → Vorheizung → Lötbereich → Kühlung</w:t>
      </w:r>
    </w:p>
    <w:p>
      <w:pPr>
        <w:pStyle w:val="ListParagraph"/>
        <w:numPr>
          <w:ilvl w:val="0"/>
          <w:numId w:val="2"/>
        </w:numPr>
        <w:spacing w:after="60"/>
      </w:pPr>
      <w:r>
        <w:rPr>
          <w:rFonts w:ascii="Calibri" w:cs="Calibri" w:eastAsia="Calibri" w:hAnsi="Calibri"/>
          <w:b w:val="false"/>
          <w:bCs w:val="false"/>
          <w:sz w:val="21"/>
          <w:szCs w:val="21"/>
        </w:rPr>
        <w:t xml:space="preserve">Wellenlöten mit Masken vs. selektives Wellenlöten: Vor-/Nachteile (Selektiv: geringere thermische Belastung, aber langsamer/wartungsintensiver)</w:t>
      </w:r>
    </w:p>
    <w:p>
      <w:pPr>
        <w:pStyle w:val="ListParagraph"/>
        <w:numPr>
          <w:ilvl w:val="0"/>
          <w:numId w:val="2"/>
        </w:numPr>
        <w:spacing w:after="60"/>
      </w:pPr>
      <w:r>
        <w:rPr>
          <w:rFonts w:ascii="Calibri" w:cs="Calibri" w:eastAsia="Calibri" w:hAnsi="Calibri"/>
          <w:b w:val="false"/>
          <w:bCs w:val="false"/>
          <w:sz w:val="21"/>
          <w:szCs w:val="21"/>
        </w:rPr>
        <w:t xml:space="preserve">Fluxertypen: Sprühfluxer vs. Drop-Jet-Fluxer (für Selektivlöten)</w:t>
      </w:r>
    </w:p>
    <w:p>
      <w:pPr>
        <w:pStyle w:val="ListParagraph"/>
        <w:numPr>
          <w:ilvl w:val="0"/>
          <w:numId w:val="2"/>
        </w:numPr>
        <w:spacing w:after="60"/>
      </w:pPr>
      <w:r>
        <w:rPr>
          <w:rFonts w:ascii="Calibri" w:cs="Calibri" w:eastAsia="Calibri" w:hAnsi="Calibri"/>
          <w:b w:val="false"/>
          <w:bCs w:val="false"/>
          <w:sz w:val="21"/>
          <w:szCs w:val="21"/>
        </w:rPr>
        <w:t xml:space="preserve">Vorheizarten: IR-Strahler, Quarzstrahler, Konvektion, "Pulsarstrahler" (Kombination) — Zielwert ca. 100–120 °C</w:t>
      </w:r>
    </w:p>
    <w:p>
      <w:pPr>
        <w:pStyle w:val="ListParagraph"/>
        <w:numPr>
          <w:ilvl w:val="0"/>
          <w:numId w:val="2"/>
        </w:numPr>
        <w:spacing w:after="60"/>
      </w:pPr>
      <w:r>
        <w:rPr>
          <w:rFonts w:ascii="Calibri" w:cs="Calibri" w:eastAsia="Calibri" w:hAnsi="Calibri"/>
          <w:b w:val="false"/>
          <w:bCs w:val="false"/>
          <w:sz w:val="21"/>
          <w:szCs w:val="21"/>
        </w:rPr>
        <w:t xml:space="preserve">Selektive Lötdüsen-Varianten: benetzbare vs. nicht benetzbare Düse; Miniwellenlöten mit Einzeldüse vs. Mehrfachdüsen; typische Taktzeiten (ca. 1–10 min bzw. 20–30 s)</w:t>
      </w:r>
    </w:p>
    <w:p>
      <w:pPr>
        <w:pStyle w:val="ListParagraph"/>
        <w:numPr>
          <w:ilvl w:val="0"/>
          <w:numId w:val="2"/>
        </w:numPr>
        <w:spacing w:after="60"/>
      </w:pPr>
      <w:r>
        <w:rPr>
          <w:rFonts w:ascii="Calibri" w:cs="Calibri" w:eastAsia="Calibri" w:hAnsi="Calibri"/>
          <w:b w:val="false"/>
          <w:bCs w:val="false"/>
          <w:sz w:val="21"/>
          <w:szCs w:val="21"/>
        </w:rPr>
        <w:t xml:space="preserve">Randbedingungen für selektives Löten: kein Überhitzen/Verschmutzen, stressfreie Verbindung</w:t>
      </w:r>
    </w:p>
    <w:p>
      <w:pPr>
        <w:pStyle w:val="Heading2"/>
        <w:spacing w:after="120" w:before="240"/>
      </w:pPr>
      <w:r>
        <w:rPr>
          <w:rFonts w:ascii="Calibri" w:cs="Calibri" w:eastAsia="Calibri" w:hAnsi="Calibri"/>
        </w:rPr>
        <w:t xml:space="preserve">14.3 Ausgefallene Firmen 2025 (nicht in diesjährigen Materialien enthalten)</w:t>
      </w:r>
    </w:p>
    <w:p>
      <w:pPr>
        <w:spacing w:after="120"/>
      </w:pPr>
      <w:r>
        <w:rPr>
          <w:rFonts w:ascii="Calibri" w:cs="Calibri" w:eastAsia="Calibri" w:hAnsi="Calibri"/>
          <w:b w:val="false"/>
          <w:bCs w:val="false"/>
          <w:i w:val="false"/>
          <w:iCs w:val="false"/>
          <w:sz w:val="22"/>
          <w:szCs w:val="22"/>
        </w:rPr>
        <w:t xml:space="preserve">Siemens EWA (Thema 2025: "5 Aspekte von CRISP Manufacturing") und BMK Group (Thema 2025: Feuchtigkeitsschutz-Maßnahmen für Bauelemente/Leiterplatten/Baugruppen) tauchen in den aktuellen SS26-Materialien nicht auf. Entweder sind sie dieses Jahr nicht dabei, oder du hast die entsprechenden Folien noch nicht hochgeladen — prüfe das sicherheitshalber nochmal, bevor du diese beiden Themen komplett auslässt.</w:t>
      </w:r>
    </w:p>
    <w:p>
      <w:r>
        <w:br w:type="page"/>
      </w:r>
    </w:p>
    <w:p>
      <w:pPr>
        <w:pStyle w:val="Heading1"/>
        <w:spacing w:after="150" w:before="300"/>
      </w:pPr>
      <w:r>
        <w:rPr>
          <w:rFonts w:ascii="Calibri" w:cs="Calibri" w:eastAsia="Calibri" w:hAnsi="Calibri"/>
        </w:rPr>
        <w:t xml:space="preserve">Zusammenfassung &amp; Lernstrategie</w:t>
      </w:r>
    </w:p>
    <w:p>
      <w:pPr>
        <w:spacing w:after="80"/>
      </w:pPr>
      <w:r>
        <w:rPr>
          <w:rFonts w:ascii="Calibri" w:cs="Calibri" w:eastAsia="Calibri" w:hAnsi="Calibri"/>
          <w:b w:val="false"/>
          <w:bCs w:val="false"/>
          <w:i w:val="false"/>
          <w:iCs w:val="false"/>
          <w:sz w:val="22"/>
          <w:szCs w:val="22"/>
        </w:rPr>
        <w:t xml:space="preserve">1. Beherrsche zuerst alle 13 Kern-Themenblöcke im "SEHR HOCH"-Bereich vollständig — das ist der stabilste, am besten vorhersagbare Teil der Klausur und macht bei fast jedem Themenblock mindestens eine der real gestellten Fragen aus.</w:t>
      </w:r>
    </w:p>
    <w:p>
      <w:pPr>
        <w:spacing w:after="80"/>
      </w:pPr>
      <w:r>
        <w:rPr>
          <w:rFonts w:ascii="Calibri" w:cs="Calibri" w:eastAsia="Calibri" w:hAnsi="Calibri"/>
          <w:b w:val="false"/>
          <w:bCs w:val="false"/>
          <w:i w:val="false"/>
          <w:iCs w:val="false"/>
          <w:sz w:val="22"/>
          <w:szCs w:val="22"/>
        </w:rPr>
        <w:t xml:space="preserve">2. Ergänze mit dem "MITTEL"-Bereich — hier lohnt es sich, zumindest die Grundidee jeder Variante zu kennen, auch wenn du nicht jedes Detail auswendig kannst.</w:t>
      </w:r>
    </w:p>
    <w:p>
      <w:pPr>
        <w:spacing w:after="80"/>
      </w:pPr>
      <w:r>
        <w:rPr>
          <w:rFonts w:ascii="Calibri" w:cs="Calibri" w:eastAsia="Calibri" w:hAnsi="Calibri"/>
          <w:b w:val="false"/>
          <w:bCs w:val="false"/>
          <w:i w:val="false"/>
          <w:iCs w:val="false"/>
          <w:sz w:val="22"/>
          <w:szCs w:val="22"/>
        </w:rPr>
        <w:t xml:space="preserve">3. Überfliege den "NEU/MÖGLICH"-Bereich thematisch, damit dich nichts komplett überrascht — auswendig lernen ist hier weniger effizient als bei den anderen beiden Kategorien.</w:t>
      </w:r>
    </w:p>
    <w:p>
      <w:pPr>
        <w:spacing w:after="80"/>
      </w:pPr>
      <w:r>
        <w:rPr>
          <w:rFonts w:ascii="Calibri" w:cs="Calibri" w:eastAsia="Calibri" w:hAnsi="Calibri"/>
          <w:b w:val="false"/>
          <w:bCs w:val="false"/>
          <w:i w:val="false"/>
          <w:iCs w:val="false"/>
          <w:sz w:val="22"/>
          <w:szCs w:val="22"/>
        </w:rPr>
        <w:t xml:space="preserve">4. Beim Übungsteil (Kap. 14): Lerne Kronos zuerst und am gründlichsten (höchste Trefferwahrscheinlichkeit). Bei Trainalytics und SEHO die oben gelisteten 2026er-Kernfakten durcharbeiten — dein Wissen aus der 2025er-Klausur hilft dort nicht direkt weiter, da sich der Vortragsfokus geändert hat.</w:t>
      </w:r>
    </w:p>
    <w:p>
      <w:pPr>
        <w:spacing w:after="200"/>
      </w:pPr>
      <w:r>
        <w:rPr>
          <w:rFonts w:ascii="Calibri" w:cs="Calibri" w:eastAsia="Calibri" w:hAnsi="Calibri"/>
          <w:b w:val="false"/>
          <w:bCs w:val="false"/>
          <w:i w:val="false"/>
          <w:iCs w:val="false"/>
          <w:sz w:val="22"/>
          <w:szCs w:val="22"/>
        </w:rPr>
        <w:t xml:space="preserve">5. Kläre vorab (z.B. beim Dozenten/in der Übung), ob Siemens EWA und BMK Group dieses Jahr noch als Exkursion/Gastvortrag stattfinden — falls ja, besorge dir auch deren Materialien.</w:t>
      </w:r>
    </w:p>
    <w:p>
      <w:pPr>
        <w:spacing w:after="120"/>
        <w:jc w:val="center"/>
      </w:pPr>
      <w:r>
        <w:rPr>
          <w:rFonts w:ascii="Calibri" w:cs="Calibri" w:eastAsia="Calibri" w:hAnsi="Calibri"/>
          <w:b/>
          <w:bCs/>
          <w:i w:val="false"/>
          <w:iCs w:val="false"/>
          <w:sz w:val="24"/>
          <w:szCs w:val="24"/>
        </w:rPr>
        <w:t xml:space="preserve">Viel Erfolg bei der Klausur!</w:t>
      </w:r>
    </w:p>
    <w:sectPr>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2026-09-22T13:38:38.648Z</dcterms:created>
  <dcterms:modified xsi:type="dcterms:W3CDTF">2026-09-22T13:38:38.649Z</dcterms:modified>
</cp:coreProperties>
</file>

<file path=docProps/custom.xml><?xml version="1.0" encoding="utf-8"?>
<Properties xmlns="http://schemas.openxmlformats.org/officeDocument/2006/custom-properties" xmlns:vt="http://schemas.openxmlformats.org/officeDocument/2006/docPropsVTypes"/>
</file>