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CRAWLER DE BATALHÃO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5FA8"/>
          <w:sz w:val="28"/>
          <w:szCs w:val="28"/>
        </w:rPr>
        <w:t xml:space="preserve">Arquitetura Enterprise de Raspagem Massiva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Documento Técnico de Implementação — v1.0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993C1D"/>
          <w:sz w:val="20"/>
          <w:szCs w:val="20"/>
        </w:rPr>
        <w:t xml:space="preserve">Confidencial — Uso Interno</w:t>
      </w:r>
    </w:p>
    <w:p>
      <w:pPr>
        <w:spacing w:after="600" w:before="0"/>
      </w:pPr>
      <w:r>
        <w:t xml:space="preserve"/>
      </w:r>
    </w:p>
    <w:p>
      <w:pPr>
        <w:pBdr>
          <w:bottom w:val="single" w:color="1E5FA8" w:sz="12" w:space="1"/>
        </w:pBdr>
        <w:spacing w:after="40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Sumário Executivo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Este documento descreve a arquitetura completa do Crawler de Batalhão, um sistema enterprise de raspagem massiva de dados projetado para processar dezenas de milhares de URLs com resiliência, furtividade e conformidade legal. O sistema foi concebido para operar como produto comercial B2B, entregando datasets processados em formato JSONL e/ou Parquet conforme contrato com o cliente.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Escopo de Operação: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Dezenas de milhares de URLs por ciclo de job, múltiplos clientes simultâneos, SLA de entrega contratual.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Conformidade: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Motor PII integrado com adesão a LGPD (Lei 13.709/2018), GDPR e legislações internacionais equivalentes. Log de auditoria imútável em cada job.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Princípios de Engenharia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2.1 Hierarquia de Prioridades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Toda decisão arquitetural deste sistema segue esta ordem de prioridade: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Conformidade Legal (LGPD/GDPR) — não negociável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Resiliência de dados — nenhum dado coletado pode ser perdido por falha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Furtividade — minimizar assinatura de bot sem comprometer os dois anteriores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Performance — throughput máximo dentro dos limites dos itens acima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Custo — otimização de recursos (proxy, banda, CPU/RAM) como consequencia da arquitetura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2.2 Modelo de Custo por Design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O sistema opera com classificação dinâmica de defesa. Recursos caros (proxy residencial, Playwright) são consumidos apenas quando estritamente necessário. A maioria dos alvos deve ser resolvida pelas camadas de menor custo.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Relativo / Uso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Nivel 0 — curl direto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~R$0 — sites sem defesa (~30% do corpus)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Nível 1-2 — curl_cffi TLS spoof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Baixo — Cloudflare básico (~45% do corpus)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Nível 3-4 — Playwright + proxy DC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Médio — JS challenge, Datadome (~20% do corpus)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Priority — proxy residencial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Alto — PerimeterX, Akamai (~5% do corpus)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Arquitetura em Camadas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O pipeline completo é composto por 7 camadas funcionais independentes. Cada camada tem responsabilidade única e pode ser escalada ou substituída de forma isolada.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CAMADA 1 → Ingestão  |  CAMADA 2 → Defense Intelligence  |  CAMADA 3 → Redis Streams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CAMADA 4 → Executores  |  CAMADA 5 → Retry Engine  |  CAMADA 6 → DataClear  |  CAMADA 7 → Output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3.1 Camada de Ingestão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Responsável por receber o corpus de URLs do cliente, normalizar, deduplicar e priorizar antes de qualquer processamento.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Normalização de URLs: lowercase, remoção de parâmetros de rastreamento (utm_*, fbclid, etc.), canonicalização de trailing slash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Deduplicação via Redis SET: antes de enfileirar, verifica se a URL já foi processada neste job. Operação O(1)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Priorização via Redis Sorted Set: score = urgência do SLA do cliente. URLs de clientes com SLA menor entram com score maior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Ingestão com deduplicação e prioridade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ingest_urls(urls: list[str], job_id: str, sla_score: float):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pipe = redis.pipeline()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raw_url in urls: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url = normalize_url(raw_url)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already_seen = await redis.sismember(f"seen:{job_id}", 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not already_seen: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pipe.sadd(f"seen:{job_id}", 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pipe.zadd("priority_queue", {url: sla_score})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pipe.execute()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3.2 Camada de Defense Intelligence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Núcleo estratégico do sistema. Classifica cada URL (ou domínio) por nível de defesa antes de ativar o executor correto. Elimina o desperdício de recursos caros em alvos que não requerem.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Probe Request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Uma requisição nua é disparada sem proxy ou spoofing. O resultado é analisado para extrair sinais de defesa: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Detectado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/ Executor Ativado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HTML limpo, 200 OK, sem cookies especiais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Nível 0 — curl direto sem proxy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Header cf-ray presente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Nível 1 — curl_cffi Chrome TLS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&lt;title&gt;Just a moment...&lt;/title&gt; ou status 403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Nível 2 — curl_cffi + header completo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Cookie datadome ou dd_cookie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Nível 3 — Playwright + proxy datacenter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Cookie __px (PerimeterX) ou ak_bmsc (Akamai)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Nível 4 — Playwright + proxy residencial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Nível 4 + CAPTCHA recorrente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Priority — residencial + delay humanizado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 de Classificação: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O resultado da classificação é armazenado em Redis Hash por domínio com TTL de 24h. URLs do mesmo domínio não precisam do probe — reutilizam a classificação cacheada.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Defense Intelligence Layer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classify_defense_level(url: str) -&gt; DefenseLevel: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domain = extract_domain(url)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cached = await redis.hget("defense_cache", domain)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cached: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DefenseLevel(int(cached))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response = await raw_probe(url, timeout=5)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signals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"cf_ray":     "cf-ray" in response.headers,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"js_challenge": "Just a moment" in response.text,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"datadome":   "datadome" in response.cookies,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"perimeterx": "__px" in response.cookies,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"akamai":     "ak_bmsc" in response.cookies,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"captcha":    "captcha" in response.text.lower(),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"status":     response.status_code,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level = DefenseLevelRouter.classify(signals)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redis.hset("defense_cache", domain, level.value)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redis.expire("defense_cache", 86400)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level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3.3 Camada de Message Broker — Redis Streams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O sistema utiliza Redis Streams (não Redis Lists) como broker de mensagens. A escolha é crítica: Streams possuem ACK persistente nativo via XREADGROUP, histórico de mensagens e reentrega automática após timeout de worker morto.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Por que Streams e não Lists?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Redis Lists perdem mensagens se o worker morrer sem ACK. Streams garantem que a mensagem volta à fila automaticamente após timeout, sem implementação manual de retry no código da aplicação.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Estrutura das Filas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stream:level_0 — URLs nível 0, sem proxy, alta velocidade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stream:level_12 — URLs nível 1 e 2, curl_cffi com TLS spoof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stream:level_34 — URLs nível 3 e 4, Playwright + proxy rotativo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priority_queue — Redis Sorted Set para URLs com SLA urgente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Três Pilares Obrigatórios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ACK/NACK: worker pega a mensagem — fila a marca como pendente. Sucesso: XACK. Falha/timeout: fila reentrega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Dead Letter Queue: após 3 tentativas sem sucesso, URL é movida para stream:dead_letters com categorização de causa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Throttling integrado: consumer group limita leitura por segundo por stream, prevenindo estouro de quota de proxy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Consumidor Redis Streams com ACK correto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stream_worker(stream: str, group: str, semaphore: asyncio.Semaphore):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messages = await redis.xreadgroup(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group, "worker-1", {stream: "&gt;"}, count=10, block=2000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stream_name, entries in messages: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for msg_id, data in entries: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async with semaphore: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success = await process_url(data["url"])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if success: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await redis.xack(stream, group, msg_id)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await handle_failure(stream, msg_id, data)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3.4 Camada de Executores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Quatro executores especializados operam em paralelo, cada um otimizado para um perfil de defesa. Todos respeitam Semáforos de concorrência para evitar estouro de file descriptors e rate-limit por IP.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Executor Nível 0 — curl direto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Biblioteca: aiohttp nativo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Semáforo: asyncio.Semaphore(20)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Proxy: nenhum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Uso esperado: ~30% do corpus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Executor Nível 1-2 — TLS Spoofing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Biblioteca: curl_cffi AsyncSession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Semáforo: asyncio.Semaphore(15)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TLS fingerprint: Chrome 120 (JA4 completo)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Headers HTTP/2 SETTINGS frame imitando browser real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curl_cffi com identidade completa de browser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curl_cffi.requests import AsyncSession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fetch_level12(url: str, identity: BrowserIdentity) -&gt; 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async with AsyncSession() as session: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response = await session.get(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impersonate="chrome120",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headers=identity.headers,      # ordem exata do Chrome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cookies=identity.cookies,      # sessao persistente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timeout=15,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response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Executor Nível 3-4 — Playwright Pool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Framework: Playwright asyncio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Semáforo: asyncio.Semaphore(5) — conservador por consumo de 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Pool: um único browser process, múltiplas pages (abas) em paralelo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Reciclagem de contexto: a cada 50 páginas, contexto é destruído e recriado (previne vazamento de memória progressivo)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Anti-detecção: playwright-stealth ou configuracões manuais de evasão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Playwright pool com reciclagem de contexto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PlaywrightPool: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self.browser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self.context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self.pages_processed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self.RECYCLE_AFTER =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async def get_page(self):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self.pages_processed % self.RECYCLE_AFTER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self.context: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await self.context.close()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self.context = await self.browser.new_context(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**stealth_config,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proxy={"server": proxy_rotativo.next()},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page = await self.context.new_page()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self.pages_processed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page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3.5 Retry + Escalation Engine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Motor de resiliência responsável por distinguir falhas transitórias de falhas permanentes e tomar a ação correta para cada tipo. Erros diferentes exigem tratamentos diferentes — misturá-los é perda de inteligência operacional.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Falha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Timeout de rede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Retry com exponential backoff: 2s → 4s → 8s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403 / WAF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Escalação automática para executor de nível superior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404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Descarte permanente com log de auditoria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429 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Pausa o worker específico por N minutos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JS Challenge detectado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Escalada para fila Playwright com delay humanizado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3x falha sem padrão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Movida para Dead Letter Queue categorizada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Escalation Automático: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Um 403 que persiste após retry não volta para a mesma fila — o engine detecta o padrão e promove a URL para o executor do nível imediatamente superior. Isso fecha o loop com a Defense Intelligence Layer.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3.6 DataClear Stage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Camada de transformação e compliance. Todo dado extraído passa por aqui antes de chegar ao output. Opera em modo strict=True por padrão.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Pipeline Interno do DataClear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Extração estruturada do HTML/DOM via seletores CSS ou XPath definidos no job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Validação de schema: campos obrigatórios, tipos de dados, ranges aceitos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Filtro PII (motor integrado): detecta e remove/pseudonimiza CPF, email, telefone, nomes completos, endereços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Deduplicação por hash do conteúdo: previne registros duplicados no dataset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Anotação de proveniência: URL de origem, timestamp, executor utilizado, versão do schema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LGPD por Design: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O filtro PII não é uma camada opcional — é o default. Dados pessoais que aparecem acidentalmente em páginas públicas (nomes de funcionários em rodapés, emails em páginas de contato) são descartados ou pseudonimizados antes de qualquer armazenamento.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Exemplo de schema canônico de saída do DataClear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"id": "sha256_hash_do_url_+_timestamp",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"url": "https://exemplo.com/produto/123",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"domain": "exemplo.com",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"crawl_timestamp": "2026-04-23T14:32:00Z",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"executor_level":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"schema_version": "v2",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"title": "...",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"price": 129.90,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"description": "..."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"pii_fields_removed": 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"audit_hash": "sha256_do_registro_completo"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3.7 Camada de Output Dinâmico — JSONL e Parquet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O crawler sempre grava internamente em JSONL como formato intermediário (rápido, append, resiliente). O Export Engine — um processo assíncrono separado — lê esse JSONL e produz os formatos contratados pelo cliente sem bloquear o throughput do crawl.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Justificativa Técnica da Separação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Converter JSONL para Parquet inline durante o crawl adiciona latência: o PyArrow precisa acumular um batch para construir o schema colunar. Em escala de dezenas de milhares de URLs, isso para o crawler enquanto aguarda a conversão. A separação elimina esse acoplamento.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Comparação de Formatos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Parquet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Compressão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1x (gzip até 3x)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Snappy 8–15x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Leitura colunar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Sim — leitura apenas das colunas pedidas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Inspeção manual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Sim — qualquer editor de texto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Não — binário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Python, Node, LLM tools, fine-tuning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BigQuery, Spark, Athena, DuckDB, Databricks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Schema enforcement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Implícito (flexível)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Explícito (rígido por design)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Particionamento nativo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Sim — por domínio/data reduz custo de query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Contrato de Output por Cliente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Armazenado em Redis Hash no momento da criação do job: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Contrato de cliente — define formatos de entrega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client_contract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"client_id": "acme_corp",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"output_formats": ["jsonl", "parquet"],  # lista dinâmica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"parquet_compression": "snappy",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"partition_by": ["domain", "crawl_date"],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"jsonl_gzip":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"schema_version": "v2",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Manifesto de Entrega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Junto com os arquivos de dado, o Export Engine gera um manifesto manifest.json contendo: lista de todos os arquivos, total de registros por arquivo, hash MD5 de integridade e versão do schema. Isso permite ao cliente validar a entrega programaticamente e serve como documentação de auditoria LGPD.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Estrutura do manifesto de entrega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"job_id": "job_acme_20260423_001",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"client_id": "acme_corp",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"generated_at": "2026-04-23T18:00:00Z",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"schema_version": "v2",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"total_records": 48392,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"formats_delivered": ["jsonl", "parquet"],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"files":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"path": "parquet/domain=exemplo.com/date=2026-04-23/part-0.parquet",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"format": "parquet",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"records": 1247,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"md5": "a3f2...",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"size_bytes": 284920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Conformidade Legal — LGPD e Direito Internacional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Conformidade não é uma camada adicionada após o desenvolvimento — está incorporada no design de cada componente do sistema.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 LGPD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no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Finalidade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DataClear coleta apenas campos definidos no job config. Campos não mapeados são descartados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Adequação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Schema canônico versionado garante que o dado coletado é compatível com a finalidade declarada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Necessidade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Filtro PII remove dados pessoais acidentais antes de qualquer armazenamento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audit_hash imutável em cada registro. Log de proveniência por job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Responsabilização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Manifesto de entrega com timestamp e hash é a prova documentável de conformidade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Respeito ao robots.txt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Módulo de leitura e cache do robots.txt por domínio. Paths bloqueados não entram no corpus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Rate Limiting como Boa-Fé: 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O Semáforo de concorrência não é apenas otimização de performance — é evidência documentável de que o sistema não foi projetado para causar indisponibilidade nos servidores alvo (o que configuraria ataque de disponibilidade).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Biblioteca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Runtime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Python 3.11+ com asyncio nativo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Executor Lível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aiohttp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Executor Nível 1-2 (TLS spoof)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curl_cffi — AsyncSession com impersonate="chrome120"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Executor Nível 3-4 (JS render)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Playwright asyncio + playwright-stealth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Redis 7+ — Streams (XREADGROUP/XACK)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Task Queue (opcional)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arq — nativo asyncio, Redis-backed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Escrita assíncrona em disco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aiofiles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Export JSONL → Parquet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PyArrow 14+ com schema explícito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Deduplicação de URLs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Redis SET (O(1) lookup)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Fila de prioridade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Redis Sorted Set (ZADD/ZPOPMIN)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Cache de classificação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Redis Hash com TTL 24h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Filtro PII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Motor interno (já validado LGPD/GDPR)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Proxy residencial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Rotativo — ativado apenas Nível 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Métricas: taxa sucesso/nível, custo/URL, lag de fila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Guia de Implementação — Ordem de Desenvolvimento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Recomenda-se implementar os componentes nesta ordem para permitir testes incrementais com dados reais a partir da Sprint 2.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1: Infraestrutura base — Redis Streams, schema de filas, estrutura de diretórios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1: DataClear Stage com filtro PII e schema canônico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2: Executor Nível 0 (curl direto) + JSONL output + manifesto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2: Defense Intelligence Layer (probe + classificação +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3: Executor Nível 1-2 (curl_cffi) + Retry/Escalation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3: Dead Letter Queue categorizada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4: Executor Nível 3-4 (Playwright pool + recicagem de contexto)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4: Proxy rotativo inteligente (comercial vs residencial por 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5: Export Engine assíncrono — conversão JSONL → Parquet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5: Priority Queue com score de SLA + observabilidade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Sprint 6: Testes de carga, ajuste de Semáforos, validação LGPD end-to-end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Observabilidade e Métricas de Saúde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Um sistema enterprise sem observabilidade é uma caixa-preta inoperable. As seguintes métricas devem ser instrumentadas desde o Sprint 1: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Operacional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Taxa de sucesso por nível (0/12/34/priority)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Detecta degëbrade de WAF em domínios específicos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Custo de proxy por URL processada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Alerta de desvio de custo antes de virar prejuízo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Lag de fila por stream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Sinaliza gargalos — qual executor está sobrecarregado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Taxa de Dead Letters por tipo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Distingue problemas de rede de problemas de WAF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Tempo médio por URL por nível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Informa ajuste de Semáforos e SLA realista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Volume de PII removido por job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Auditoria de conformidade LGPD por entrega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Decisões em Aberto — Próximas Sessões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Os itens abaixo foram identificados como pontos de decisão arquitetural que impactam o desenvolvimento mas ainda aguardam definição: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Schema canônico v1: quais campos são universais (presentes em todos os jobs) versus campos job-specific configuráveis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Campo de proveniência: incluir versão do executor (curl_cffi vs Playwright) para rastreabilidade de debug ou apenas URL +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Evolução de schema: fixo por contrato de cliente ou evolutivo com retrocompatibilidade garantida (Parquet suporta adição de colunas sem quebrar leitores antigos, JSONL não)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Multi-tenancy no Redis: isolamento por job_id (atual) ou por namespace/instância Redis separada por cliente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SLA de entrega: definição dos níveis de SLA (ex: Standard 48h, Priority 12h, Enterprise 4h) e como isso impacta o score da Priority Queue</w:t>
      </w:r>
    </w:p>
    <w:p>
      <w:pPr>
        <w:spacing w:after="200" w:before="0"/>
      </w:pPr>
      <w:r>
        <w:t xml:space="preserve"/>
      </w:r>
    </w:p>
    <w:p>
      <w:pPr>
        <w:pBdr>
          <w:top w:val="single" w:color="1E5FA8" w:sz="6" w:space="4"/>
        </w:pBdr>
        <w:spacing w:after="80" w:before="40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Crawler de Batalhão — Documento Técnico v1.0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 |  Confidencial  |  Versão para Time de Implementação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F5E5A"/>
        <w:sz w:val="16"/>
        <w:szCs w:val="16"/>
      </w:rPr>
      <w:t xml:space="preserve">Confidencial — Uso Interno     </w:t>
    </w:r>
    <w:r>
      <w:rPr>
        <w:rFonts w:ascii="Arial" w:cs="Arial" w:eastAsia="Arial" w:hAnsi="Arial"/>
        <w:color w:val="5F5E5A"/>
        <w:sz w:val="16"/>
        <w:szCs w:val="16"/>
      </w:rPr>
      <w:t xml:space="preserve">Página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Crawler de Batalhão — Arquitetura Enterprise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5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C34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2026-04-24T02:26:54.874Z</dcterms:created>
  <dcterms:modified xsi:type="dcterms:W3CDTF">2026-04-24T02:26:54.875Z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