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400"/>
        <w:jc w:val="left"/>
      </w:pPr>
      <w:r>
        <w:drawing>
          <wp:inline xmlns:a="http://schemas.openxmlformats.org/drawingml/2006/main" xmlns:pic="http://schemas.openxmlformats.org/drawingml/2006/picture">
            <wp:extent cx="1417320" cy="784546"/>
            <wp:docPr id="1" name="Picture 1"/>
            <wp:cNvGraphicFramePr>
              <a:graphicFrameLocks noChangeAspect="1"/>
            </wp:cNvGraphicFramePr>
            <a:graphic>
              <a:graphicData uri="http://schemas.openxmlformats.org/drawingml/2006/picture">
                <pic:pic>
                  <pic:nvPicPr>
                    <pic:cNvPr id="0" name="roopkala-logo-handoff.png"/>
                    <pic:cNvPicPr/>
                  </pic:nvPicPr>
                  <pic:blipFill>
                    <a:blip r:embed="rId11"/>
                    <a:stretch>
                      <a:fillRect/>
                    </a:stretch>
                  </pic:blipFill>
                  <pic:spPr>
                    <a:xfrm>
                      <a:off x="0" y="0"/>
                      <a:ext cx="1417320" cy="784546"/>
                    </a:xfrm>
                    <a:prstGeom prst="rect"/>
                  </pic:spPr>
                </pic:pic>
              </a:graphicData>
            </a:graphic>
          </wp:inline>
        </w:drawing>
      </w:r>
    </w:p>
    <w:p>
      <w:pPr>
        <w:pStyle w:val="Title"/>
        <w:spacing w:before="160" w:after="200"/>
        <w:pBdr>
          <w:top w:val="nil"/>
          <w:left w:val="nil"/>
          <w:bottom w:val="nil"/>
          <w:right w:val="nil"/>
          <w:between w:val="nil"/>
          <w:bar w:val="nil"/>
        </w:pBdr>
      </w:pPr>
      <w:r>
        <w:t>Lead Response Desk Technical Handoff</w:t>
      </w:r>
    </w:p>
    <w:p>
      <w:pPr>
        <w:spacing w:after="480"/>
      </w:pPr>
      <w:r>
        <w:rPr>
          <w:rFonts w:ascii="Aptos" w:hAnsi="Aptos"/>
          <w:color w:val="563276"/>
          <w:sz w:val="32"/>
        </w:rPr>
        <w:t>Implementation inventory production readiness and remaining work</w:t>
      </w:r>
    </w:p>
    <w:p>
      <w:pPr>
        <w:spacing w:after="160"/>
      </w:pPr>
      <w:r>
        <w:rPr>
          <w:rFonts w:ascii="Aptos" w:hAnsi="Aptos"/>
          <w:b/>
          <w:color w:val="6B6871"/>
          <w:sz w:val="18"/>
        </w:rPr>
        <w:t>Client facing product name</w:t>
      </w:r>
      <w:r>
        <w:br/>
      </w:r>
      <w:r>
        <w:rPr>
          <w:rFonts w:ascii="Aptos" w:hAnsi="Aptos"/>
          <w:b/>
          <w:sz w:val="24"/>
        </w:rPr>
        <w:t>Roopkala Lead Desk</w:t>
      </w:r>
    </w:p>
    <w:p>
      <w:pPr>
        <w:spacing w:after="160"/>
      </w:pPr>
      <w:r>
        <w:rPr>
          <w:rFonts w:ascii="Aptos" w:hAnsi="Aptos"/>
          <w:b/>
          <w:color w:val="6B6871"/>
          <w:sz w:val="18"/>
        </w:rPr>
        <w:t>Repository</w:t>
      </w:r>
      <w:r>
        <w:br/>
      </w:r>
      <w:r>
        <w:rPr>
          <w:rFonts w:ascii="Aptos Mono" w:hAnsi="Aptos Mono"/>
          <w:sz w:val="22"/>
        </w:rPr>
        <w:t>lead-response-desk</w:t>
      </w:r>
    </w:p>
    <w:p>
      <w:pPr>
        <w:spacing w:after="160"/>
      </w:pPr>
      <w:r>
        <w:rPr>
          <w:rFonts w:ascii="Aptos" w:hAnsi="Aptos"/>
          <w:b/>
          <w:color w:val="6B6871"/>
          <w:sz w:val="18"/>
        </w:rPr>
        <w:t>Status date</w:t>
      </w:r>
      <w:r>
        <w:br/>
      </w:r>
      <w:r>
        <w:rPr>
          <w:rFonts w:ascii="Aptos" w:hAnsi="Aptos"/>
          <w:sz w:val="22"/>
        </w:rPr>
        <w:t>23 September 2026</w:t>
      </w:r>
    </w:p>
    <w:p>
      <w:pPr>
        <w:spacing w:before="520" w:after="0"/>
      </w:pPr>
      <w:r>
        <w:rPr>
          <w:rFonts w:ascii="Aptos" w:hAnsi="Aptos"/>
          <w:b/>
          <w:color w:val="563276"/>
          <w:sz w:val="20"/>
        </w:rPr>
        <w:t>Purpose</w:t>
      </w:r>
    </w:p>
    <w:p>
      <w:pPr>
        <w:spacing w:before="0" w:after="0" w:line="276" w:lineRule="auto"/>
      </w:pPr>
      <w:r>
        <w:rPr>
          <w:rFonts w:ascii="Aptos" w:hAnsi="Aptos"/>
          <w:color w:val="000000"/>
          <w:sz w:val="21"/>
        </w:rPr>
        <w:t>This document gives the next engineer a complete, evidence-based view of what is built, how the system is structured, what was verified, what remains, and what must happen before the application can carry real production traffic.</w:t>
      </w:r>
    </w:p>
    <w:p>
      <w:r>
        <w:br w:type="page"/>
      </w:r>
    </w:p>
    <w:p>
      <w:pPr>
        <w:pStyle w:val="Heading1"/>
        <w:keepNext/>
      </w:pPr>
      <w:r>
        <w:t>Executive summary</w:t>
      </w:r>
    </w:p>
    <w:p>
      <w:pPr>
        <w:spacing w:before="0" w:after="140" w:line="276" w:lineRule="auto"/>
      </w:pPr>
      <w:r>
        <w:rPr>
          <w:rFonts w:ascii="Aptos" w:hAnsi="Aptos"/>
          <w:color w:val="000000"/>
          <w:sz w:val="21"/>
        </w:rPr>
        <w:t>The core standalone lead-response application has been built and locally verified. It includes tenant-isolated PostgreSQL data, authenticated staff and owner experiences, lead intake from CSV and Google Sheets, append-only activity evidence, SLA and escalation logic, reporting, background jobs, role-aware administration, and a production Docker layout. Meta Lead Ads was intentionally left as the final connection and currently remains a guarded adapter boundary rather than a working integration.</w:t>
      </w:r>
    </w:p>
    <w:p>
      <w:pPr>
        <w:spacing w:before="0" w:after="140" w:line="276" w:lineRule="auto"/>
      </w:pPr>
      <w:r>
        <w:rPr>
          <w:rFonts w:ascii="Aptos" w:hAnsi="Aptos"/>
          <w:color w:val="000000"/>
          <w:sz w:val="21"/>
        </w:rPr>
        <w:t>The application is not yet ready to receive live production traffic. The remaining work is concentrated in deployment and external configuration, plus a short list of known product and reliability gaps. The most important blockers are a real VPS deployment, an approved domain and DNS, production secrets, tested email or SMS delivery, Google service-account credentials, optional WhatsApp provider credentials, backups, monitoring, and final mobile role-by-role acceptance testing.</w:t>
      </w:r>
    </w:p>
    <w:p>
      <w:pPr>
        <w:pStyle w:val="Heading2"/>
        <w:keepNext/>
      </w:pPr>
      <w:r>
        <w:t>Current status at a glance</w:t>
      </w:r>
    </w:p>
    <w:tbl>
      <w:tblPr>
        <w:tblW w:type="auto" w:w="0"/>
        <w:jc w:val="center"/>
        <w:tblLayout w:type="fixed"/>
        <w:tblLook w:firstColumn="1" w:firstRow="1" w:lastColumn="0" w:lastRow="0" w:noHBand="0" w:noVBand="1" w:val="04A0"/>
      </w:tblPr>
      <w:tblGrid>
        <w:gridCol w:w="3369"/>
        <w:gridCol w:w="3369"/>
        <w:gridCol w:w="3369"/>
      </w:tblGrid>
      <w:tr>
        <w:trPr>
          <w:tblHeader w:val="true"/>
        </w:trPr>
        <w:tc>
          <w:tcPr>
            <w:tcW w:type="dxa" w:w="3240"/>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r/>
            <w:r>
              <w:rPr>
                <w:rFonts w:ascii="Aptos" w:hAnsi="Aptos"/>
                <w:b/>
                <w:color w:val="FFFFFF"/>
                <w:sz w:val="18"/>
              </w:rPr>
              <w:t>Area</w:t>
            </w:r>
          </w:p>
        </w:tc>
        <w:tc>
          <w:tcPr>
            <w:tcW w:type="dxa" w:w="1728"/>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r/>
            <w:r>
              <w:rPr>
                <w:rFonts w:ascii="Aptos" w:hAnsi="Aptos"/>
                <w:b/>
                <w:color w:val="FFFFFF"/>
                <w:sz w:val="18"/>
              </w:rPr>
              <w:t>Status</w:t>
            </w:r>
          </w:p>
        </w:tc>
        <w:tc>
          <w:tcPr>
            <w:tcW w:type="dxa" w:w="5112"/>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r/>
            <w:r>
              <w:rPr>
                <w:rFonts w:ascii="Aptos" w:hAnsi="Aptos"/>
                <w:b/>
                <w:color w:val="FFFFFF"/>
                <w:sz w:val="18"/>
              </w:rPr>
              <w:t>Meaning</w:t>
            </w:r>
          </w:p>
        </w:tc>
      </w:tr>
      <w:tr>
        <w:trPr>
          <w:cantSplit/>
        </w:trPr>
        <w:tc>
          <w:tcPr>
            <w:tcW w:type="dxa" w:w="32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r/>
            <w:r>
              <w:rPr>
                <w:rFonts w:ascii="Aptos" w:hAnsi="Aptos"/>
                <w:b w:val="0"/>
                <w:color w:val="000000"/>
                <w:sz w:val="18"/>
              </w:rPr>
              <w:t>Core web application</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r/>
            <w:r>
              <w:rPr>
                <w:rFonts w:ascii="Aptos" w:hAnsi="Aptos"/>
                <w:b/>
                <w:color w:val="2F7D55"/>
                <w:sz w:val="18"/>
              </w:rPr>
              <w:t>Built</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r/>
            <w:r>
              <w:rPr>
                <w:rFonts w:ascii="Aptos" w:hAnsi="Aptos"/>
                <w:b w:val="0"/>
                <w:color w:val="000000"/>
                <w:sz w:val="18"/>
              </w:rPr>
              <w:t>Owner, staff, quality, campaign, report, settings, and lead-detail flows are implemented.</w:t>
            </w:r>
          </w:p>
        </w:tc>
      </w:tr>
      <w:tr>
        <w:trPr>
          <w:cantSplit/>
        </w:trPr>
        <w:tc>
          <w:tcPr>
            <w:tcW w:type="dxa" w:w="32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5F5F6"/>
          </w:tcPr>
          <w:p>
            <w:r/>
            <w:r>
              <w:rPr>
                <w:rFonts w:ascii="Aptos" w:hAnsi="Aptos"/>
                <w:b w:val="0"/>
                <w:color w:val="000000"/>
                <w:sz w:val="18"/>
              </w:rPr>
              <w:t>Database and tenant security</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5F5F6"/>
          </w:tcPr>
          <w:p>
            <w:r/>
            <w:r>
              <w:rPr>
                <w:rFonts w:ascii="Aptos" w:hAnsi="Aptos"/>
                <w:b/>
                <w:color w:val="2F7D55"/>
                <w:sz w:val="18"/>
              </w:rPr>
              <w:t>Built</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5F5F6"/>
          </w:tcPr>
          <w:p>
            <w:r/>
            <w:r>
              <w:rPr>
                <w:rFonts w:ascii="Aptos" w:hAnsi="Aptos"/>
                <w:b w:val="0"/>
                <w:color w:val="000000"/>
                <w:sz w:val="18"/>
              </w:rPr>
              <w:t>PostgreSQL schema, migrations, forced row-level security, append-only evidence, and verification are implemented.</w:t>
            </w:r>
          </w:p>
        </w:tc>
      </w:tr>
      <w:tr>
        <w:trPr>
          <w:cantSplit/>
        </w:trPr>
        <w:tc>
          <w:tcPr>
            <w:tcW w:type="dxa" w:w="32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r/>
            <w:r>
              <w:rPr>
                <w:rFonts w:ascii="Aptos" w:hAnsi="Aptos"/>
                <w:b w:val="0"/>
                <w:color w:val="000000"/>
                <w:sz w:val="18"/>
              </w:rPr>
              <w:t>CSV intake</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r/>
            <w:r>
              <w:rPr>
                <w:rFonts w:ascii="Aptos" w:hAnsi="Aptos"/>
                <w:b/>
                <w:color w:val="2F7D55"/>
                <w:sz w:val="18"/>
              </w:rPr>
              <w:t>Built</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r/>
            <w:r>
              <w:rPr>
                <w:rFonts w:ascii="Aptos" w:hAnsi="Aptos"/>
                <w:b w:val="0"/>
                <w:color w:val="000000"/>
                <w:sz w:val="18"/>
              </w:rPr>
              <w:t>Upload, normalization, repeat-enquiry handling, and deterministic fallback identifiers are implemented.</w:t>
            </w:r>
          </w:p>
        </w:tc>
      </w:tr>
      <w:tr>
        <w:trPr>
          <w:cantSplit/>
        </w:trPr>
        <w:tc>
          <w:tcPr>
            <w:tcW w:type="dxa" w:w="32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5F5F6"/>
          </w:tcPr>
          <w:p>
            <w:r/>
            <w:r>
              <w:rPr>
                <w:rFonts w:ascii="Aptos" w:hAnsi="Aptos"/>
                <w:b w:val="0"/>
                <w:color w:val="000000"/>
                <w:sz w:val="18"/>
              </w:rPr>
              <w:t>Google Sheets intake</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5F5F6"/>
          </w:tcPr>
          <w:p>
            <w:r/>
            <w:r>
              <w:rPr>
                <w:rFonts w:ascii="Aptos" w:hAnsi="Aptos"/>
                <w:b/>
                <w:color w:val="2F7D55"/>
                <w:sz w:val="18"/>
              </w:rPr>
              <w:t>Built</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5F5F6"/>
          </w:tcPr>
          <w:p>
            <w:r/>
            <w:r>
              <w:rPr>
                <w:rFonts w:ascii="Aptos" w:hAnsi="Aptos"/>
                <w:b w:val="0"/>
                <w:color w:val="000000"/>
                <w:sz w:val="18"/>
              </w:rPr>
              <w:t>Read-only service-account polling, mapping, test, manual sync, and scheduled sync are implemented; credentials are still required.</w:t>
            </w:r>
          </w:p>
        </w:tc>
      </w:tr>
      <w:tr>
        <w:trPr>
          <w:cantSplit/>
        </w:trPr>
        <w:tc>
          <w:tcPr>
            <w:tcW w:type="dxa" w:w="32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r/>
            <w:r>
              <w:rPr>
                <w:rFonts w:ascii="Aptos" w:hAnsi="Aptos"/>
                <w:b w:val="0"/>
                <w:color w:val="000000"/>
                <w:sz w:val="18"/>
              </w:rPr>
              <w:t>Authentication</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r/>
            <w:r>
              <w:rPr>
                <w:rFonts w:ascii="Aptos" w:hAnsi="Aptos"/>
                <w:b/>
                <w:color w:val="2F7D55"/>
                <w:sz w:val="18"/>
              </w:rPr>
              <w:t>Built</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r/>
            <w:r>
              <w:rPr>
                <w:rFonts w:ascii="Aptos" w:hAnsi="Aptos"/>
                <w:b w:val="0"/>
                <w:color w:val="000000"/>
                <w:sz w:val="18"/>
              </w:rPr>
              <w:t>Phone OTP and email magic-link flows, sessions, revocation, and login rate limiting are implemented; delivery providers require configuration.</w:t>
            </w:r>
          </w:p>
        </w:tc>
      </w:tr>
      <w:tr>
        <w:trPr>
          <w:cantSplit/>
        </w:trPr>
        <w:tc>
          <w:tcPr>
            <w:tcW w:type="dxa" w:w="32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5F5F6"/>
          </w:tcPr>
          <w:p>
            <w:r/>
            <w:r>
              <w:rPr>
                <w:rFonts w:ascii="Aptos" w:hAnsi="Aptos"/>
                <w:b w:val="0"/>
                <w:color w:val="000000"/>
                <w:sz w:val="18"/>
              </w:rPr>
              <w:t>Notifications</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5F5F6"/>
          </w:tcPr>
          <w:p>
            <w:r/>
            <w:r>
              <w:rPr>
                <w:rFonts w:ascii="Aptos" w:hAnsi="Aptos"/>
                <w:b/>
                <w:color w:val="A26000"/>
                <w:sz w:val="18"/>
              </w:rPr>
              <w:t>External setup</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5F5F6"/>
          </w:tcPr>
          <w:p>
            <w:r/>
            <w:r>
              <w:rPr>
                <w:rFonts w:ascii="Aptos" w:hAnsi="Aptos"/>
                <w:b w:val="0"/>
                <w:color w:val="000000"/>
                <w:sz w:val="18"/>
              </w:rPr>
              <w:t>WhatsApp, push, and email adapter boundaries exist. Real provider credentials and end-to-end delivery tests are pending.</w:t>
            </w:r>
          </w:p>
        </w:tc>
      </w:tr>
      <w:tr>
        <w:trPr>
          <w:cantSplit/>
        </w:trPr>
        <w:tc>
          <w:tcPr>
            <w:tcW w:type="dxa" w:w="32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r/>
            <w:r>
              <w:rPr>
                <w:rFonts w:ascii="Aptos" w:hAnsi="Aptos"/>
                <w:b w:val="0"/>
                <w:color w:val="000000"/>
                <w:sz w:val="18"/>
              </w:rPr>
              <w:t>Deployment</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r/>
            <w:r>
              <w:rPr>
                <w:rFonts w:ascii="Aptos" w:hAnsi="Aptos"/>
                <w:b/>
                <w:color w:val="A26000"/>
                <w:sz w:val="18"/>
              </w:rPr>
              <w:t>External setup</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r/>
            <w:r>
              <w:rPr>
                <w:rFonts w:ascii="Aptos" w:hAnsi="Aptos"/>
                <w:b w:val="0"/>
                <w:color w:val="000000"/>
                <w:sz w:val="18"/>
              </w:rPr>
              <w:t>Docker and Caddy configuration exist. VPS, domain, DNS, production environment, backups, and monitoring are pending.</w:t>
            </w:r>
          </w:p>
        </w:tc>
      </w:tr>
      <w:tr>
        <w:trPr>
          <w:cantSplit/>
        </w:trPr>
        <w:tc>
          <w:tcPr>
            <w:tcW w:type="dxa" w:w="32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5F5F6"/>
          </w:tcPr>
          <w:p>
            <w:r/>
            <w:r>
              <w:rPr>
                <w:rFonts w:ascii="Aptos" w:hAnsi="Aptos"/>
                <w:b w:val="0"/>
                <w:color w:val="000000"/>
                <w:sz w:val="18"/>
              </w:rPr>
              <w:t>Meta Lead Ads</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5F5F6"/>
          </w:tcPr>
          <w:p>
            <w:r/>
            <w:r>
              <w:rPr>
                <w:rFonts w:ascii="Aptos" w:hAnsi="Aptos"/>
                <w:b/>
                <w:color w:val="A26000"/>
                <w:sz w:val="18"/>
              </w:rPr>
              <w:t>Configured last</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5F5F6"/>
          </w:tcPr>
          <w:p>
            <w:r/>
            <w:r>
              <w:rPr>
                <w:rFonts w:ascii="Aptos" w:hAnsi="Aptos"/>
                <w:b w:val="0"/>
                <w:color w:val="000000"/>
                <w:sz w:val="18"/>
              </w:rPr>
              <w:t>Schema boundary and deferred adapter exist. Webhook, token, hydration, reconciliation, and receipt processing are not implemented.</w:t>
            </w:r>
          </w:p>
        </w:tc>
      </w:tr>
    </w:tbl>
    <w:p>
      <w:pPr>
        <w:spacing w:after="20"/>
      </w:pPr>
    </w:p>
    <w:p>
      <w:pPr>
        <w:pStyle w:val="Heading2"/>
        <w:keepNext/>
      </w:pPr>
      <w:r>
        <w:t>Repository condition</w:t>
      </w:r>
    </w:p>
    <w:p>
      <w:pPr>
        <w:spacing w:before="0" w:after="140" w:line="276" w:lineRule="auto"/>
      </w:pPr>
      <w:r>
        <w:rPr>
          <w:rFonts w:ascii="Aptos" w:hAnsi="Aptos"/>
          <w:color w:val="000000"/>
          <w:sz w:val="21"/>
        </w:rPr>
        <w:t>The repository contains the application and deployment files, but the feature work is present as uncommitted working-tree changes. Before formal handoff or deployment, create a clean checkpoint commit after reviewing the diff and removing any local-only files. Do not overwrite unrelated user changes.</w:t>
      </w:r>
    </w:p>
    <w:p>
      <w:pPr>
        <w:pStyle w:val="Heading1"/>
        <w:keepNext/>
      </w:pPr>
      <w:r>
        <w:t>Contents</w:t>
      </w:r>
    </w:p>
    <w:p>
      <w:pPr>
        <w:pStyle w:val="ListBullet"/>
        <w:spacing w:after="80" w:line="264" w:lineRule="auto"/>
      </w:pPr>
      <w:r>
        <w:rPr>
          <w:rFonts w:ascii="Aptos" w:hAnsi="Aptos"/>
          <w:sz w:val="20"/>
        </w:rPr>
        <w:t>1 Product scope and operating model</w:t>
      </w:r>
    </w:p>
    <w:p>
      <w:pPr>
        <w:pStyle w:val="ListBullet"/>
        <w:spacing w:after="80" w:line="264" w:lineRule="auto"/>
      </w:pPr>
      <w:r>
        <w:rPr>
          <w:rFonts w:ascii="Aptos" w:hAnsi="Aptos"/>
          <w:sz w:val="20"/>
        </w:rPr>
        <w:t>2 Technical architecture</w:t>
      </w:r>
    </w:p>
    <w:p>
      <w:pPr>
        <w:pStyle w:val="ListBullet"/>
        <w:spacing w:after="80" w:line="264" w:lineRule="auto"/>
      </w:pPr>
      <w:r>
        <w:rPr>
          <w:rFonts w:ascii="Aptos" w:hAnsi="Aptos"/>
          <w:sz w:val="20"/>
        </w:rPr>
        <w:t>3 User roles and application surfaces</w:t>
      </w:r>
    </w:p>
    <w:p>
      <w:pPr>
        <w:pStyle w:val="ListBullet"/>
        <w:spacing w:after="80" w:line="264" w:lineRule="auto"/>
      </w:pPr>
      <w:r>
        <w:rPr>
          <w:rFonts w:ascii="Aptos" w:hAnsi="Aptos"/>
          <w:sz w:val="20"/>
        </w:rPr>
        <w:t>4 Lead workflows and evidence model</w:t>
      </w:r>
    </w:p>
    <w:p>
      <w:pPr>
        <w:pStyle w:val="ListBullet"/>
        <w:spacing w:after="80" w:line="264" w:lineRule="auto"/>
      </w:pPr>
      <w:r>
        <w:rPr>
          <w:rFonts w:ascii="Aptos" w:hAnsi="Aptos"/>
          <w:sz w:val="20"/>
        </w:rPr>
        <w:t>5 SLA escalation and notification behavior</w:t>
      </w:r>
    </w:p>
    <w:p>
      <w:pPr>
        <w:pStyle w:val="ListBullet"/>
        <w:spacing w:after="80" w:line="264" w:lineRule="auto"/>
      </w:pPr>
      <w:r>
        <w:rPr>
          <w:rFonts w:ascii="Aptos" w:hAnsi="Aptos"/>
          <w:sz w:val="20"/>
        </w:rPr>
        <w:t>6 Data model and database guarantees</w:t>
      </w:r>
    </w:p>
    <w:p>
      <w:pPr>
        <w:pStyle w:val="ListBullet"/>
        <w:spacing w:after="80" w:line="264" w:lineRule="auto"/>
      </w:pPr>
      <w:r>
        <w:rPr>
          <w:rFonts w:ascii="Aptos" w:hAnsi="Aptos"/>
          <w:sz w:val="20"/>
        </w:rPr>
        <w:t>7 Intake integrations</w:t>
      </w:r>
    </w:p>
    <w:p>
      <w:pPr>
        <w:pStyle w:val="ListBullet"/>
        <w:spacing w:after="80" w:line="264" w:lineRule="auto"/>
      </w:pPr>
      <w:r>
        <w:rPr>
          <w:rFonts w:ascii="Aptos" w:hAnsi="Aptos"/>
          <w:sz w:val="20"/>
        </w:rPr>
        <w:t>8 Authentication security and offline behavior</w:t>
      </w:r>
    </w:p>
    <w:p>
      <w:pPr>
        <w:pStyle w:val="ListBullet"/>
        <w:spacing w:after="80" w:line="264" w:lineRule="auto"/>
      </w:pPr>
      <w:r>
        <w:rPr>
          <w:rFonts w:ascii="Aptos" w:hAnsi="Aptos"/>
          <w:sz w:val="20"/>
        </w:rPr>
        <w:t>9 Background jobs reports and scheduled processing</w:t>
      </w:r>
    </w:p>
    <w:p>
      <w:pPr>
        <w:pStyle w:val="ListBullet"/>
        <w:spacing w:after="80" w:line="264" w:lineRule="auto"/>
      </w:pPr>
      <w:r>
        <w:rPr>
          <w:rFonts w:ascii="Aptos" w:hAnsi="Aptos"/>
          <w:sz w:val="20"/>
        </w:rPr>
        <w:t>10 API inventory</w:t>
      </w:r>
    </w:p>
    <w:p>
      <w:pPr>
        <w:pStyle w:val="ListBullet"/>
        <w:spacing w:after="80" w:line="264" w:lineRule="auto"/>
      </w:pPr>
      <w:r>
        <w:rPr>
          <w:rFonts w:ascii="Aptos" w:hAnsi="Aptos"/>
          <w:sz w:val="20"/>
        </w:rPr>
        <w:t>11 Repository and deployment layout</w:t>
      </w:r>
    </w:p>
    <w:p>
      <w:pPr>
        <w:pStyle w:val="ListBullet"/>
        <w:spacing w:after="80" w:line="264" w:lineRule="auto"/>
      </w:pPr>
      <w:r>
        <w:rPr>
          <w:rFonts w:ascii="Aptos" w:hAnsi="Aptos"/>
          <w:sz w:val="20"/>
        </w:rPr>
        <w:t>12 Verification evidence</w:t>
      </w:r>
    </w:p>
    <w:p>
      <w:pPr>
        <w:pStyle w:val="ListBullet"/>
        <w:spacing w:after="80" w:line="264" w:lineRule="auto"/>
      </w:pPr>
      <w:r>
        <w:rPr>
          <w:rFonts w:ascii="Aptos" w:hAnsi="Aptos"/>
          <w:sz w:val="20"/>
        </w:rPr>
        <w:t>13 Pending work and known limitations</w:t>
      </w:r>
    </w:p>
    <w:p>
      <w:pPr>
        <w:pStyle w:val="ListBullet"/>
        <w:spacing w:after="80" w:line="264" w:lineRule="auto"/>
      </w:pPr>
      <w:r>
        <w:rPr>
          <w:rFonts w:ascii="Aptos" w:hAnsi="Aptos"/>
          <w:sz w:val="20"/>
        </w:rPr>
        <w:t>14 Go live sequence</w:t>
      </w:r>
    </w:p>
    <w:p>
      <w:pPr>
        <w:pStyle w:val="ListBullet"/>
        <w:spacing w:after="80" w:line="264" w:lineRule="auto"/>
      </w:pPr>
      <w:r>
        <w:rPr>
          <w:rFonts w:ascii="Aptos" w:hAnsi="Aptos"/>
          <w:sz w:val="20"/>
        </w:rPr>
        <w:t>Appendix A Environment variables</w:t>
      </w:r>
    </w:p>
    <w:p>
      <w:pPr>
        <w:pStyle w:val="ListBullet"/>
        <w:spacing w:after="80" w:line="264" w:lineRule="auto"/>
      </w:pPr>
      <w:r>
        <w:rPr>
          <w:rFonts w:ascii="Aptos" w:hAnsi="Aptos"/>
          <w:sz w:val="20"/>
        </w:rPr>
        <w:t>Appendix B Database objects</w:t>
      </w:r>
    </w:p>
    <w:p>
      <w:pPr>
        <w:pStyle w:val="ListBullet"/>
        <w:spacing w:after="80" w:line="264" w:lineRule="auto"/>
      </w:pPr>
      <w:r>
        <w:rPr>
          <w:rFonts w:ascii="Aptos" w:hAnsi="Aptos"/>
          <w:sz w:val="20"/>
        </w:rPr>
        <w:t>Appendix C Source adapter contract</w:t>
      </w:r>
    </w:p>
    <w:p>
      <w:pPr>
        <w:pStyle w:val="ListBullet"/>
        <w:spacing w:after="80" w:line="264" w:lineRule="auto"/>
      </w:pPr>
      <w:r>
        <w:rPr>
          <w:rFonts w:ascii="Aptos" w:hAnsi="Aptos"/>
          <w:sz w:val="20"/>
        </w:rPr>
        <w:t>Appendix D Recommended continuation order</w:t>
      </w:r>
    </w:p>
    <w:p>
      <w:r>
        <w:br w:type="page"/>
      </w:r>
    </w:p>
    <w:p>
      <w:pPr>
        <w:pStyle w:val="Heading1"/>
        <w:keepNext/>
      </w:pPr>
      <w:r>
        <w:t>1 Product scope and operating model</w:t>
      </w:r>
    </w:p>
    <w:p>
      <w:pPr>
        <w:spacing w:before="0" w:after="140" w:line="276" w:lineRule="auto"/>
      </w:pPr>
      <w:r>
        <w:rPr>
          <w:rFonts w:ascii="Aptos" w:hAnsi="Aptos"/>
          <w:color w:val="000000"/>
          <w:sz w:val="21"/>
        </w:rPr>
        <w:t>Lead Response Desk is a new, self-contained repository and application. It does not import from, share code with, share a database with, or deploy alongside any other product. It owns its authentication, users, tenants, event log, jobs, reports, infrastructure, and database schema.</w:t>
      </w:r>
    </w:p>
    <w:p>
      <w:pPr>
        <w:pStyle w:val="ListBullet"/>
        <w:spacing w:after="80" w:line="264" w:lineRule="auto"/>
      </w:pPr>
      <w:r>
        <w:rPr>
          <w:rFonts w:ascii="Aptos" w:hAnsi="Aptos"/>
          <w:sz w:val="20"/>
        </w:rPr>
        <w:t>Internal product name: Lead Response Desk.</w:t>
      </w:r>
    </w:p>
    <w:p>
      <w:pPr>
        <w:pStyle w:val="ListBullet"/>
        <w:spacing w:after="80" w:line="264" w:lineRule="auto"/>
      </w:pPr>
      <w:r>
        <w:rPr>
          <w:rFonts w:ascii="Aptos" w:hAnsi="Aptos"/>
          <w:sz w:val="20"/>
        </w:rPr>
        <w:t>Tenant-facing product name: configurable by tenant; the seeded tenant renders Roopkala Lead Desk.</w:t>
      </w:r>
    </w:p>
    <w:p>
      <w:pPr>
        <w:pStyle w:val="ListBullet"/>
        <w:spacing w:after="80" w:line="264" w:lineRule="auto"/>
      </w:pPr>
      <w:r>
        <w:rPr>
          <w:rFonts w:ascii="Aptos" w:hAnsi="Aptos"/>
          <w:sz w:val="20"/>
        </w:rPr>
        <w:t>Repository name: lead-response-desk.</w:t>
      </w:r>
    </w:p>
    <w:p>
      <w:pPr>
        <w:pStyle w:val="ListBullet"/>
        <w:spacing w:after="80" w:line="264" w:lineRule="auto"/>
      </w:pPr>
      <w:r>
        <w:rPr>
          <w:rFonts w:ascii="Aptos" w:hAnsi="Aptos"/>
          <w:sz w:val="20"/>
        </w:rPr>
        <w:t>Deployment model: a separate Postgres instance and Docker Compose stack behind Caddy.</w:t>
      </w:r>
    </w:p>
    <w:p>
      <w:pPr>
        <w:pStyle w:val="ListBullet"/>
        <w:spacing w:after="80" w:line="264" w:lineRule="auto"/>
      </w:pPr>
      <w:r>
        <w:rPr>
          <w:rFonts w:ascii="Aptos" w:hAnsi="Aptos"/>
          <w:sz w:val="20"/>
        </w:rPr>
        <w:t>Domain model: a dedicated leads subdomain with tenant resolution to be finalized before purchase or DNS changes.</w:t>
      </w:r>
    </w:p>
    <w:p>
      <w:pPr>
        <w:pStyle w:val="ListBullet"/>
        <w:spacing w:after="80" w:line="264" w:lineRule="auto"/>
      </w:pPr>
      <w:r>
        <w:rPr>
          <w:rFonts w:ascii="Aptos" w:hAnsi="Aptos"/>
          <w:sz w:val="20"/>
        </w:rPr>
        <w:t>Initial live intake: CSV and Google Sheets. Meta remains the final integration stage.</w:t>
      </w:r>
    </w:p>
    <w:p>
      <w:pPr>
        <w:pStyle w:val="Heading2"/>
        <w:keepNext/>
      </w:pPr>
      <w:r>
        <w:t>Product objective</w:t>
      </w:r>
    </w:p>
    <w:p>
      <w:pPr>
        <w:spacing w:before="0" w:after="140" w:line="276" w:lineRule="auto"/>
      </w:pPr>
      <w:r>
        <w:rPr>
          <w:rFonts w:ascii="Aptos" w:hAnsi="Aptos"/>
          <w:color w:val="000000"/>
          <w:sz w:val="21"/>
        </w:rPr>
        <w:t>The application gives staff a fast, mobile-oriented lead queue and gives managers and owners a verifiable operational record. Every important action is captured as server-timed evidence so response speed, follow-up discipline, lead quality decisions, and closures can be audited without relying on editable activity rows.</w:t>
      </w:r>
    </w:p>
    <w:p>
      <w:pPr>
        <w:pStyle w:val="Heading1"/>
        <w:keepNext/>
      </w:pPr>
      <w:r>
        <w:t>2 Technical architecture</w:t>
      </w:r>
    </w:p>
    <w:tbl>
      <w:tblPr>
        <w:tblStyle w:val="TableGrid"/>
        <w:tblW w:type="auto" w:w="0"/>
        <w:jc w:val="center"/>
        <w:tblLayout w:type="fixed"/>
        <w:tblLook w:firstColumn="1" w:firstRow="1" w:lastColumn="0" w:lastRow="0" w:noHBand="0" w:noVBand="1" w:val="04A0"/>
      </w:tblPr>
      <w:tblGrid>
        <w:gridCol w:w="3369"/>
        <w:gridCol w:w="3369"/>
        <w:gridCol w:w="3369"/>
      </w:tblGrid>
      <w:tr>
        <w:trPr>
          <w:tblHeader w:val="true"/>
        </w:trPr>
        <w:tc>
          <w:tcPr>
            <w:tcW w:type="dxa" w:w="1800"/>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Layer</w:t>
            </w:r>
          </w:p>
        </w:tc>
        <w:tc>
          <w:tcPr>
            <w:tcW w:type="dxa" w:w="3168"/>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Implementation</w:t>
            </w:r>
          </w:p>
        </w:tc>
        <w:tc>
          <w:tcPr>
            <w:tcW w:type="dxa" w:w="5112"/>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Responsibility</w:t>
            </w:r>
          </w:p>
        </w:tc>
      </w:tr>
      <w:tr>
        <w:trPr>
          <w:cantSplit/>
        </w:trPr>
        <w:tc>
          <w:tcPr>
            <w:tcW w:type="dxa" w:w="18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Web</w:t>
            </w:r>
          </w:p>
        </w:tc>
        <w:tc>
          <w:tcPr>
            <w:tcW w:type="dxa" w:w="31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Next.js 15.5, React 19, TypeScript</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Server-rendered role-aware screens and route handlers.</w:t>
            </w:r>
          </w:p>
        </w:tc>
      </w:tr>
      <w:tr>
        <w:trPr>
          <w:cantSplit/>
        </w:trPr>
        <w:tc>
          <w:tcPr>
            <w:tcW w:type="dxa" w:w="18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UI</w:t>
            </w:r>
          </w:p>
        </w:tc>
        <w:tc>
          <w:tcPr>
            <w:tcW w:type="dxa" w:w="31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CSS, Lucide icons, Recharts, TanStack Query and Table</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Responsive application shell, dashboard visuals, tables, and client mutations.</w:t>
            </w:r>
          </w:p>
        </w:tc>
      </w:tr>
      <w:tr>
        <w:trPr>
          <w:cantSplit/>
        </w:trPr>
        <w:tc>
          <w:tcPr>
            <w:tcW w:type="dxa" w:w="18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Database</w:t>
            </w:r>
          </w:p>
        </w:tc>
        <w:tc>
          <w:tcPr>
            <w:tcW w:type="dxa" w:w="31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PostgreSQL 16 and Drizzle ORM</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Tenant data, append-only events, sessions, imports, reports, metrics, and audit records.</w:t>
            </w:r>
          </w:p>
        </w:tc>
      </w:tr>
      <w:tr>
        <w:trPr>
          <w:cantSplit/>
        </w:trPr>
        <w:tc>
          <w:tcPr>
            <w:tcW w:type="dxa" w:w="18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Tenant isolation</w:t>
            </w:r>
          </w:p>
        </w:tc>
        <w:tc>
          <w:tcPr>
            <w:tcW w:type="dxa" w:w="31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Forced PostgreSQL row-level security</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Every application table is tenant-scoped and queries receive tenant, user, and role context.</w:t>
            </w:r>
          </w:p>
        </w:tc>
      </w:tr>
      <w:tr>
        <w:trPr>
          <w:cantSplit/>
        </w:trPr>
        <w:tc>
          <w:tcPr>
            <w:tcW w:type="dxa" w:w="18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Jobs</w:t>
            </w:r>
          </w:p>
        </w:tc>
        <w:tc>
          <w:tcPr>
            <w:tcW w:type="dxa" w:w="31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pg-boss dedicated worker</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SLA checks, follow-ups, notifications, snapshots, digests, weekly reports, integrity checks, and sheet sync.</w:t>
            </w:r>
          </w:p>
        </w:tc>
      </w:tr>
      <w:tr>
        <w:trPr>
          <w:cantSplit/>
        </w:trPr>
        <w:tc>
          <w:tcPr>
            <w:tcW w:type="dxa" w:w="18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Proxy and TLS</w:t>
            </w:r>
          </w:p>
        </w:tc>
        <w:tc>
          <w:tcPr>
            <w:tcW w:type="dxa" w:w="31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Caddy 2</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HTTPS termination, compression, security headers, and reverse proxying.</w:t>
            </w:r>
          </w:p>
        </w:tc>
      </w:tr>
      <w:tr>
        <w:trPr>
          <w:cantSplit/>
        </w:trPr>
        <w:tc>
          <w:tcPr>
            <w:tcW w:type="dxa" w:w="18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Deployment</w:t>
            </w:r>
          </w:p>
        </w:tc>
        <w:tc>
          <w:tcPr>
            <w:tcW w:type="dxa" w:w="31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Docker Compose</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Separate web, worker, migration, PostgreSQL, and Caddy services.</w:t>
            </w:r>
          </w:p>
        </w:tc>
      </w:tr>
    </w:tbl>
    <w:p>
      <w:pPr>
        <w:spacing w:after="40"/>
      </w:pPr>
    </w:p>
    <w:p>
      <w:pPr>
        <w:pStyle w:val="Heading2"/>
        <w:keepNext/>
      </w:pPr>
      <w:r>
        <w:t>Request and data flow</w:t>
      </w:r>
    </w:p>
    <w:p>
      <w:pPr>
        <w:spacing w:after="80" w:line="264" w:lineRule="auto"/>
        <w:ind w:left="403" w:hanging="403"/>
      </w:pPr>
      <w:r>
        <w:rPr>
          <w:rFonts w:ascii="Aptos" w:hAnsi="Aptos"/>
          <w:sz w:val="20"/>
        </w:rPr>
        <w:t>1.  A user authenticates through phone OTP or an email magic link and receives a server session.</w:t>
      </w:r>
    </w:p>
    <w:p>
      <w:pPr>
        <w:spacing w:after="80" w:line="264" w:lineRule="auto"/>
        <w:ind w:left="403" w:hanging="403"/>
      </w:pPr>
      <w:r>
        <w:rPr>
          <w:rFonts w:ascii="Aptos" w:hAnsi="Aptos"/>
          <w:sz w:val="20"/>
        </w:rPr>
        <w:t>2.  Middleware protects application routes and passes the user context to server-side read models or API handlers.</w:t>
      </w:r>
    </w:p>
    <w:p>
      <w:pPr>
        <w:spacing w:after="80" w:line="264" w:lineRule="auto"/>
        <w:ind w:left="403" w:hanging="403"/>
      </w:pPr>
      <w:r>
        <w:rPr>
          <w:rFonts w:ascii="Aptos" w:hAnsi="Aptos"/>
          <w:sz w:val="20"/>
        </w:rPr>
        <w:t>3.  Database access runs inside withTenant, which maps the signed-in user ID and role into PostgreSQL session variables used by RLS policies.</w:t>
      </w:r>
    </w:p>
    <w:p>
      <w:pPr>
        <w:spacing w:after="80" w:line="264" w:lineRule="auto"/>
        <w:ind w:left="403" w:hanging="403"/>
      </w:pPr>
      <w:r>
        <w:rPr>
          <w:rFonts w:ascii="Aptos" w:hAnsi="Aptos"/>
          <w:sz w:val="20"/>
        </w:rPr>
        <w:t>4.  Lead actions create immutable attempts and append-only attempt or lead events. Current state is derived from events or updated through controlled workflow handlers.</w:t>
      </w:r>
    </w:p>
    <w:p>
      <w:pPr>
        <w:spacing w:after="80" w:line="264" w:lineRule="auto"/>
        <w:ind w:left="403" w:hanging="403"/>
      </w:pPr>
      <w:r>
        <w:rPr>
          <w:rFonts w:ascii="Aptos" w:hAnsi="Aptos"/>
          <w:sz w:val="20"/>
        </w:rPr>
        <w:t>5.  The worker reads tenant jobs from pg-boss and writes notifications, metric snapshots, reports, and integrity results.</w:t>
      </w:r>
    </w:p>
    <w:p>
      <w:pPr>
        <w:pStyle w:val="Heading1"/>
        <w:keepNext/>
      </w:pPr>
      <w:r>
        <w:t>3 User roles and application surfaces</w:t>
      </w:r>
    </w:p>
    <w:tbl>
      <w:tblPr>
        <w:tblStyle w:val="TableGrid"/>
        <w:tblW w:type="auto" w:w="0"/>
        <w:jc w:val="center"/>
        <w:tblLayout w:type="fixed"/>
        <w:tblLook w:firstColumn="1" w:firstRow="1" w:lastColumn="0" w:lastRow="0" w:noHBand="0" w:noVBand="1" w:val="04A0"/>
      </w:tblPr>
      <w:tblGrid>
        <w:gridCol w:w="3369"/>
        <w:gridCol w:w="3369"/>
        <w:gridCol w:w="3369"/>
      </w:tblGrid>
      <w:tr>
        <w:trPr>
          <w:tblHeader w:val="true"/>
        </w:trPr>
        <w:tc>
          <w:tcPr>
            <w:tcW w:type="dxa" w:w="1440"/>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Role</w:t>
            </w:r>
          </w:p>
        </w:tc>
        <w:tc>
          <w:tcPr>
            <w:tcW w:type="dxa" w:w="5112"/>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Primary access</w:t>
            </w:r>
          </w:p>
        </w:tc>
        <w:tc>
          <w:tcPr>
            <w:tcW w:type="dxa" w:w="3528"/>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Important constraints</w:t>
            </w:r>
          </w:p>
        </w:tc>
      </w:tr>
      <w:tr>
        <w:trPr>
          <w:cantSplit/>
        </w:trPr>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Salesperson</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Today queue, assigned leads, lead detail, attempts, notes, stages, visits, and closure requests.</w:t>
            </w:r>
          </w:p>
        </w:tc>
        <w:tc>
          <w:tcPr>
            <w:tcW w:type="dxa" w:w="35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Tenant and assignment visibility is enforced by read models and database policy.</w:t>
            </w:r>
          </w:p>
        </w:tc>
      </w:tr>
      <w:tr>
        <w:trPr>
          <w:cantSplit/>
        </w:trPr>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Manager</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Operational queues, lead oversight, quality review, campaign and report views.</w:t>
            </w:r>
          </w:p>
        </w:tc>
        <w:tc>
          <w:tcPr>
            <w:tcW w:type="dxa" w:w="35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Can supervise but remains tenant-scoped.</w:t>
            </w:r>
          </w:p>
        </w:tc>
      </w:tr>
      <w:tr>
        <w:trPr>
          <w:cantSplit/>
        </w:trPr>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Owner</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Dashboard, all leads, quality, campaigns, reports, settings, users, and integrations.</w:t>
            </w:r>
          </w:p>
        </w:tc>
        <w:tc>
          <w:tcPr>
            <w:tcW w:type="dxa" w:w="35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Receives owner escalations and can manage tenant operations.</w:t>
            </w:r>
          </w:p>
        </w:tc>
      </w:tr>
      <w:tr>
        <w:trPr>
          <w:cantSplit/>
        </w:trPr>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Agency</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Read-oriented campaign and reporting access.</w:t>
            </w:r>
          </w:p>
        </w:tc>
        <w:tc>
          <w:tcPr>
            <w:tcW w:type="dxa" w:w="35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An agency-role database write to attempts was explicitly verified as blocked.</w:t>
            </w:r>
          </w:p>
        </w:tc>
      </w:tr>
      <w:tr>
        <w:trPr>
          <w:cantSplit/>
        </w:trPr>
        <w:tc>
          <w:tcPr>
            <w:tcW w:type="dxa" w:w="144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Admin</w:t>
            </w:r>
          </w:p>
        </w:tc>
        <w:tc>
          <w:tcPr>
            <w:tcW w:type="dxa" w:w="511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User administration, settings, integrations, and full tenant operations.</w:t>
            </w:r>
          </w:p>
        </w:tc>
        <w:tc>
          <w:tcPr>
            <w:tcW w:type="dxa" w:w="35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Fresh production bootstrap creates the first administrator only.</w:t>
            </w:r>
          </w:p>
        </w:tc>
      </w:tr>
    </w:tbl>
    <w:p>
      <w:pPr>
        <w:spacing w:after="40"/>
      </w:pPr>
    </w:p>
    <w:p>
      <w:pPr>
        <w:pStyle w:val="Heading2"/>
        <w:keepNext/>
      </w:pPr>
      <w:r>
        <w:t>Implemented pages</w:t>
      </w:r>
    </w:p>
    <w:tbl>
      <w:tblPr>
        <w:tblStyle w:val="TableGrid"/>
        <w:tblW w:type="auto" w:w="0"/>
        <w:jc w:val="center"/>
        <w:tblLayout w:type="fixed"/>
        <w:tblLook w:firstColumn="1" w:firstRow="1" w:lastColumn="0" w:lastRow="0" w:noHBand="0" w:noVBand="1" w:val="04A0"/>
      </w:tblPr>
      <w:tblGrid>
        <w:gridCol w:w="5054"/>
        <w:gridCol w:w="5054"/>
      </w:tblGrid>
      <w:tr>
        <w:trPr>
          <w:tblHeader w:val="true"/>
        </w:trPr>
        <w:tc>
          <w:tcPr>
            <w:tcW w:type="dxa" w:w="2232"/>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Route</w:t>
            </w:r>
          </w:p>
        </w:tc>
        <w:tc>
          <w:tcPr>
            <w:tcW w:type="dxa" w:w="7848"/>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Purpose</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Owner dashboard with current-day operational metrics and trend context.</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/today</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Mobile-oriented live queue for leads that need action.</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/leads</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Searchable lead inventory.</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/leads/[id]</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Lead profile, timeline, contact attempts, dispositions, notes, visits, assignment, stage, quality, and closure actions.</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/quality</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Quality review queue with approve and return actions.</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/campaigns</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Campaign performance overview.</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/reports</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Current-day live metrics, historical daily snapshots, report history, and test digest action.</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/reports/weekly</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Printable weekly report view; see the known weekly read-model limitation.</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/admin</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Users, roles, status controls, CSV import, Google Sheets connection, and operational settings.</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/login</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Phone OTP or email magic-link authentication entry point.</w:t>
            </w:r>
          </w:p>
        </w:tc>
      </w:tr>
    </w:tbl>
    <w:p>
      <w:pPr>
        <w:spacing w:after="40"/>
      </w:pPr>
    </w:p>
    <w:p>
      <w:pPr>
        <w:pStyle w:val="Heading1"/>
        <w:keepNext/>
      </w:pPr>
      <w:r>
        <w:t>4 Lead workflows and evidence model</w:t>
      </w:r>
    </w:p>
    <w:p>
      <w:pPr>
        <w:pStyle w:val="Heading2"/>
        <w:keepNext/>
      </w:pPr>
      <w:r>
        <w:t>Lead detail actions</w:t>
      </w:r>
    </w:p>
    <w:p>
      <w:pPr>
        <w:pStyle w:val="ListBullet"/>
        <w:spacing w:after="80" w:line="264" w:lineRule="auto"/>
      </w:pPr>
      <w:r>
        <w:rPr>
          <w:rFonts w:ascii="Aptos" w:hAnsi="Aptos"/>
          <w:sz w:val="20"/>
        </w:rPr>
        <w:t>Create a server-timed call or WhatsApp attempt.</w:t>
      </w:r>
    </w:p>
    <w:p>
      <w:pPr>
        <w:pStyle w:val="ListBullet"/>
        <w:spacing w:after="80" w:line="264" w:lineRule="auto"/>
      </w:pPr>
      <w:r>
        <w:rPr>
          <w:rFonts w:ascii="Aptos" w:hAnsi="Aptos"/>
          <w:sz w:val="20"/>
        </w:rPr>
        <w:t>Record a disposition as an append-only attempt event.</w:t>
      </w:r>
    </w:p>
    <w:p>
      <w:pPr>
        <w:pStyle w:val="ListBullet"/>
        <w:spacing w:after="80" w:line="264" w:lineRule="auto"/>
      </w:pPr>
      <w:r>
        <w:rPr>
          <w:rFonts w:ascii="Aptos" w:hAnsi="Aptos"/>
          <w:sz w:val="20"/>
        </w:rPr>
        <w:t>Correct a disposition by adding another event; the earlier disposition remains visible and is marked corrected.</w:t>
      </w:r>
    </w:p>
    <w:p>
      <w:pPr>
        <w:pStyle w:val="ListBullet"/>
        <w:spacing w:after="80" w:line="264" w:lineRule="auto"/>
      </w:pPr>
      <w:r>
        <w:rPr>
          <w:rFonts w:ascii="Aptos" w:hAnsi="Aptos"/>
          <w:sz w:val="20"/>
        </w:rPr>
        <w:t>Add notes, including an optional offline client timestamp.</w:t>
      </w:r>
    </w:p>
    <w:p>
      <w:pPr>
        <w:pStyle w:val="ListBullet"/>
        <w:spacing w:after="80" w:line="264" w:lineRule="auto"/>
      </w:pPr>
      <w:r>
        <w:rPr>
          <w:rFonts w:ascii="Aptos" w:hAnsi="Aptos"/>
          <w:sz w:val="20"/>
        </w:rPr>
        <w:t>Book or record a store visit.</w:t>
      </w:r>
    </w:p>
    <w:p>
      <w:pPr>
        <w:pStyle w:val="ListBullet"/>
        <w:spacing w:after="80" w:line="264" w:lineRule="auto"/>
      </w:pPr>
      <w:r>
        <w:rPr>
          <w:rFonts w:ascii="Aptos" w:hAnsi="Aptos"/>
          <w:sz w:val="20"/>
        </w:rPr>
        <w:t>Change pipeline stage.</w:t>
      </w:r>
    </w:p>
    <w:p>
      <w:pPr>
        <w:pStyle w:val="ListBullet"/>
        <w:spacing w:after="80" w:line="264" w:lineRule="auto"/>
      </w:pPr>
      <w:r>
        <w:rPr>
          <w:rFonts w:ascii="Aptos" w:hAnsi="Aptos"/>
          <w:sz w:val="20"/>
        </w:rPr>
        <w:t>Reassign a lead to another user.</w:t>
      </w:r>
    </w:p>
    <w:p>
      <w:pPr>
        <w:pStyle w:val="ListBullet"/>
        <w:spacing w:after="80" w:line="264" w:lineRule="auto"/>
      </w:pPr>
      <w:r>
        <w:rPr>
          <w:rFonts w:ascii="Aptos" w:hAnsi="Aptos"/>
          <w:sz w:val="20"/>
        </w:rPr>
        <w:t>Close a lead with a close reason, quality flag, note, order value when required, duplicate lead link when required, and evidence references when required.</w:t>
      </w:r>
    </w:p>
    <w:p>
      <w:pPr>
        <w:pStyle w:val="ListBullet"/>
        <w:spacing w:after="80" w:line="264" w:lineRule="auto"/>
      </w:pPr>
      <w:r>
        <w:rPr>
          <w:rFonts w:ascii="Aptos" w:hAnsi="Aptos"/>
          <w:sz w:val="20"/>
        </w:rPr>
        <w:t>Approve or return a lead from the quality-review screen; the API independently enforces closure evidence before approval.</w:t>
      </w:r>
    </w:p>
    <w:p>
      <w:pPr>
        <w:pStyle w:val="Heading2"/>
        <w:keepNext/>
      </w:pPr>
      <w:r>
        <w:t>Immutable attempt model</w:t>
      </w:r>
    </w:p>
    <w:p>
      <w:pPr>
        <w:spacing w:before="0" w:after="140" w:line="276" w:lineRule="auto"/>
      </w:pPr>
      <w:r>
        <w:rPr>
          <w:rFonts w:ascii="Aptos" w:hAnsi="Aptos"/>
          <w:color w:val="000000"/>
          <w:sz w:val="21"/>
        </w:rPr>
        <w:t>The attempts table is insert-only and records the moment a user taps a contact action. Attempt outcomes and later state changes are written to attempt_events. Database triggers block UPDATE and DELETE on attempts, attempt_events, and lead_events.</w:t>
      </w:r>
    </w:p>
    <w:tbl>
      <w:tblPr>
        <w:tblStyle w:val="TableGrid"/>
        <w:tblW w:type="auto" w:w="0"/>
        <w:jc w:val="center"/>
        <w:tblLayout w:type="fixed"/>
        <w:tblLook w:firstColumn="1" w:firstRow="1" w:lastColumn="0" w:lastRow="0" w:noHBand="0" w:noVBand="1" w:val="04A0"/>
      </w:tblPr>
      <w:tblGrid>
        <w:gridCol w:w="5054"/>
        <w:gridCol w:w="5054"/>
      </w:tblGrid>
      <w:tr>
        <w:trPr>
          <w:tblHeader w:val="true"/>
        </w:trPr>
        <w:tc>
          <w:tcPr>
            <w:tcW w:type="dxa" w:w="2232"/>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Object</w:t>
            </w:r>
          </w:p>
        </w:tc>
        <w:tc>
          <w:tcPr>
            <w:tcW w:type="dxa" w:w="7848"/>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Key behavior</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attempts</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Insert-only contact action with tenant, lead, user, channel, server initiated time, optional client initiated time, device, and IP.</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attempt_events</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Append-only outcomes such as disposition_logged, WhatsApp queued or sent states, duration, and note events.</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attempts_current</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Database view deriving the latest disposition, latest receipt state, and verification state.</w:t>
            </w:r>
          </w:p>
        </w:tc>
      </w:tr>
      <w:tr>
        <w:trPr>
          <w:cantSplit/>
        </w:trPr>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verified</w:t>
            </w:r>
          </w:p>
        </w:tc>
        <w:tc>
          <w:tcPr>
            <w:tcW w:type="dxa" w:w="784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True when a disposition is logged within five minutes of server initiated time or when WhatsApp was delivered or read.</w:t>
            </w:r>
          </w:p>
        </w:tc>
      </w:tr>
    </w:tbl>
    <w:p>
      <w:pPr>
        <w:spacing w:after="40"/>
      </w:pPr>
    </w:p>
    <w:p>
      <w:pPr>
        <w:pStyle w:val="Heading2"/>
        <w:keepNext/>
      </w:pPr>
      <w:r>
        <w:t>Offline timestamp rules</w:t>
      </w:r>
    </w:p>
    <w:p>
      <w:pPr>
        <w:spacing w:before="0" w:after="140" w:line="276" w:lineRule="auto"/>
      </w:pPr>
      <w:r>
        <w:rPr>
          <w:rFonts w:ascii="Aptos" w:hAnsi="Aptos"/>
          <w:color w:val="000000"/>
          <w:sz w:val="21"/>
        </w:rPr>
        <w:t>client_initiated_at is nullable and is populated only when the browser's offline queue later synchronizes an attempt or note. It is display-only and is never used in SLA, dashboard, report, or performance calculations. Server time remains authoritative.</w:t>
      </w:r>
    </w:p>
    <w:p>
      <w:pPr>
        <w:pStyle w:val="ListBullet"/>
        <w:spacing w:after="80" w:line="264" w:lineRule="auto"/>
      </w:pPr>
      <w:r>
        <w:rPr>
          <w:rFonts w:ascii="Aptos" w:hAnsi="Aptos"/>
          <w:sz w:val="20"/>
        </w:rPr>
        <w:t>When client and server times differ by more than 60 seconds, the timeline shows both offline and sync times.</w:t>
      </w:r>
    </w:p>
    <w:p>
      <w:pPr>
        <w:pStyle w:val="ListBullet"/>
        <w:spacing w:after="80" w:line="264" w:lineRule="auto"/>
      </w:pPr>
      <w:r>
        <w:rPr>
          <w:rFonts w:ascii="Aptos" w:hAnsi="Aptos"/>
          <w:sz w:val="20"/>
        </w:rPr>
        <w:t>When the difference exceeds 30 minutes, the lead receives a late_sync event so it can surface as an operational leak.</w:t>
      </w:r>
    </w:p>
    <w:p>
      <w:pPr>
        <w:pStyle w:val="ListBullet"/>
        <w:spacing w:after="80" w:line="264" w:lineRule="auto"/>
      </w:pPr>
      <w:r>
        <w:rPr>
          <w:rFonts w:ascii="Aptos" w:hAnsi="Aptos"/>
          <w:sz w:val="20"/>
        </w:rPr>
        <w:t>Current offline support is limited to attempts and notes; the entire app is not available offline.</w:t>
      </w:r>
    </w:p>
    <w:p>
      <w:pPr>
        <w:pStyle w:val="Heading2"/>
        <w:keepNext/>
      </w:pPr>
      <w:r>
        <w:t>Closure evidence gates</w:t>
      </w:r>
    </w:p>
    <w:tbl>
      <w:tblPr>
        <w:tblStyle w:val="TableGrid"/>
        <w:tblW w:type="auto" w:w="0"/>
        <w:jc w:val="center"/>
        <w:tblLayout w:type="fixed"/>
        <w:tblLook w:firstColumn="1" w:firstRow="1" w:lastColumn="0" w:lastRow="0" w:noHBand="0" w:noVBand="1" w:val="04A0"/>
      </w:tblPr>
      <w:tblGrid>
        <w:gridCol w:w="5054"/>
        <w:gridCol w:w="5054"/>
      </w:tblGrid>
      <w:tr>
        <w:trPr>
          <w:tblHeader w:val="true"/>
        </w:trPr>
        <w:tc>
          <w:tcPr>
            <w:tcW w:type="dxa" w:w="3384"/>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Target</w:t>
            </w:r>
          </w:p>
        </w:tc>
        <w:tc>
          <w:tcPr>
            <w:tcW w:type="dxa" w:w="6696"/>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Required evidence</w:t>
            </w:r>
          </w:p>
        </w:tc>
      </w:tr>
      <w:tr>
        <w:trPr>
          <w:cantSplit/>
        </w:trPr>
        <w:tc>
          <w:tcPr>
            <w:tcW w:type="dxa" w:w="33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Unreachable or no response</w:t>
            </w:r>
          </w:p>
        </w:tc>
        <w:tc>
          <w:tcPr>
            <w:tcW w:type="dxa" w:w="66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At least 3 attempts, 2 distinct days, 1 WhatsApp send attempt, and a note of at least 15 characters.</w:t>
            </w:r>
          </w:p>
        </w:tc>
      </w:tr>
      <w:tr>
        <w:trPr>
          <w:cantSplit/>
        </w:trPr>
        <w:tc>
          <w:tcPr>
            <w:tcW w:type="dxa" w:w="33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Spam, wrong person, budget mismatch, or competitor quality flag</w:t>
            </w:r>
          </w:p>
        </w:tc>
        <w:tc>
          <w:tcPr>
            <w:tcW w:type="dxa" w:w="66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The same full gate as unreachable or no response.</w:t>
            </w:r>
          </w:p>
        </w:tc>
      </w:tr>
      <w:tr>
        <w:trPr>
          <w:cantSplit/>
        </w:trPr>
        <w:tc>
          <w:tcPr>
            <w:tcW w:type="dxa" w:w="33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Out of area</w:t>
            </w:r>
          </w:p>
        </w:tc>
        <w:tc>
          <w:tcPr>
            <w:tcW w:type="dxa" w:w="66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At least 1 attempt and a note.</w:t>
            </w:r>
          </w:p>
        </w:tc>
      </w:tr>
      <w:tr>
        <w:trPr>
          <w:cantSplit/>
        </w:trPr>
        <w:tc>
          <w:tcPr>
            <w:tcW w:type="dxa" w:w="33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Invalid number</w:t>
            </w:r>
          </w:p>
        </w:tc>
        <w:tc>
          <w:tcPr>
            <w:tcW w:type="dxa" w:w="66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At least 1 attempt plus WhatsApp not-on-WhatsApp evidence or an invalid-number call disposition. The evidence reference is stored.</w:t>
            </w:r>
          </w:p>
        </w:tc>
      </w:tr>
      <w:tr>
        <w:trPr>
          <w:cantSplit/>
        </w:trPr>
        <w:tc>
          <w:tcPr>
            <w:tcW w:type="dxa" w:w="33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Duplicate</w:t>
            </w:r>
          </w:p>
        </w:tc>
        <w:tc>
          <w:tcPr>
            <w:tcW w:type="dxa" w:w="66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A linked original lead ID is required for manual closure.</w:t>
            </w:r>
          </w:p>
        </w:tc>
      </w:tr>
      <w:tr>
        <w:trPr>
          <w:cantSplit/>
        </w:trPr>
        <w:tc>
          <w:tcPr>
            <w:tcW w:type="dxa" w:w="33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Bought</w:t>
            </w:r>
          </w:p>
        </w:tc>
        <w:tc>
          <w:tcPr>
            <w:tcW w:type="dxa" w:w="66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A positive order value is required.</w:t>
            </w:r>
          </w:p>
        </w:tc>
      </w:tr>
      <w:tr>
        <w:trPr>
          <w:cantSplit/>
        </w:trPr>
        <w:tc>
          <w:tcPr>
            <w:tcW w:type="dxa" w:w="33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Bought elsewhere, price too high, just browsing</w:t>
            </w:r>
          </w:p>
        </w:tc>
        <w:tc>
          <w:tcPr>
            <w:tcW w:type="dxa" w:w="669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No additional gate because the conversation itself is treated as evidence.</w:t>
            </w:r>
          </w:p>
        </w:tc>
      </w:tr>
    </w:tbl>
    <w:p>
      <w:pPr>
        <w:spacing w:after="40"/>
      </w:pPr>
    </w:p>
    <w:p>
      <w:pPr>
        <w:spacing w:before="0" w:after="140" w:line="276" w:lineRule="auto"/>
      </w:pPr>
      <w:r>
        <w:rPr>
          <w:rFonts w:ascii="Aptos" w:hAnsi="Aptos"/>
          <w:color w:val="000000"/>
          <w:sz w:val="21"/>
        </w:rPr>
        <w:t>When a gate blocks closure, the API returns structured missing requirements and the interface displays plain-language counts. A known improvement is to show these counts continuously before the user submits, rather than only after a blocked submission.</w:t>
      </w:r>
    </w:p>
    <w:p>
      <w:pPr>
        <w:pStyle w:val="Heading1"/>
        <w:keepNext/>
      </w:pPr>
      <w:r>
        <w:t>5 SLA escalation and notification behavior</w:t>
      </w:r>
    </w:p>
    <w:p>
      <w:pPr>
        <w:pStyle w:val="Heading2"/>
        <w:keepNext/>
      </w:pPr>
      <w:r>
        <w:t>Domestic and international clocks</w:t>
      </w:r>
    </w:p>
    <w:tbl>
      <w:tblPr>
        <w:tblStyle w:val="TableGrid"/>
        <w:tblW w:type="auto" w:w="0"/>
        <w:jc w:val="center"/>
        <w:tblLayout w:type="fixed"/>
        <w:tblLook w:firstColumn="1" w:firstRow="1" w:lastColumn="0" w:lastRow="0" w:noHBand="0" w:noVBand="1" w:val="04A0"/>
      </w:tblPr>
      <w:tblGrid>
        <w:gridCol w:w="3369"/>
        <w:gridCol w:w="3369"/>
        <w:gridCol w:w="3369"/>
      </w:tblGrid>
      <w:tr>
        <w:trPr>
          <w:tblHeader w:val="true"/>
        </w:trPr>
        <w:tc>
          <w:tcPr>
            <w:tcW w:type="dxa" w:w="1728"/>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Lead type</w:t>
            </w:r>
          </w:p>
        </w:tc>
        <w:tc>
          <w:tcPr>
            <w:tcW w:type="dxa" w:w="1584"/>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SLA target</w:t>
            </w:r>
          </w:p>
        </w:tc>
        <w:tc>
          <w:tcPr>
            <w:tcW w:type="dxa" w:w="6768"/>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Clock and escalation</w:t>
            </w:r>
          </w:p>
        </w:tc>
      </w:tr>
      <w:tr>
        <w:trPr>
          <w:cantSplit/>
        </w:trPr>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Domestic</w:t>
            </w:r>
          </w:p>
        </w:tc>
        <w:tc>
          <w:tcPr>
            <w:tcW w:type="dxa" w:w="15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5 minutes</w:t>
            </w:r>
          </w:p>
        </w:tc>
        <w:tc>
          <w:tcPr>
            <w:tcW w:type="dxa" w:w="67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Business-hours clock using tenant store hours and holidays. Escalation service checks due cycles every minute.</w:t>
            </w:r>
          </w:p>
        </w:tc>
      </w:tr>
      <w:tr>
        <w:trPr>
          <w:cantSplit/>
        </w:trPr>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International</w:t>
            </w:r>
          </w:p>
        </w:tc>
        <w:tc>
          <w:tcPr>
            <w:tcW w:type="dxa" w:w="15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5 minutes</w:t>
            </w:r>
          </w:p>
        </w:tc>
        <w:tc>
          <w:tcPr>
            <w:tcW w:type="dxa" w:w="676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Continuous 24-hour clock. Salesperson at 0 and 3 minutes, owner at 30 minutes, red and abandoned at 120 minutes; manager step skipped.</w:t>
            </w:r>
          </w:p>
        </w:tc>
      </w:tr>
    </w:tbl>
    <w:p>
      <w:pPr>
        <w:spacing w:after="40"/>
      </w:pPr>
    </w:p>
    <w:p>
      <w:pPr>
        <w:pStyle w:val="ListBullet"/>
        <w:spacing w:after="80" w:line="264" w:lineRule="auto"/>
      </w:pPr>
      <w:r>
        <w:rPr>
          <w:rFonts w:ascii="Aptos" w:hAnsi="Aptos"/>
          <w:sz w:val="20"/>
        </w:rPr>
        <w:t>International leads break quiet hours.</w:t>
      </w:r>
    </w:p>
    <w:p>
      <w:pPr>
        <w:pStyle w:val="ListBullet"/>
        <w:spacing w:after="80" w:line="264" w:lineRule="auto"/>
      </w:pPr>
      <w:r>
        <w:rPr>
          <w:rFonts w:ascii="Aptos" w:hAnsi="Aptos"/>
          <w:sz w:val="20"/>
        </w:rPr>
        <w:t>If an international handler is not configured, routing should go directly to the owner.</w:t>
      </w:r>
    </w:p>
    <w:p>
      <w:pPr>
        <w:pStyle w:val="ListBullet"/>
        <w:spacing w:after="80" w:line="264" w:lineRule="auto"/>
      </w:pPr>
      <w:r>
        <w:rPr>
          <w:rFonts w:ascii="Aptos" w:hAnsi="Aptos"/>
          <w:sz w:val="20"/>
        </w:rPr>
        <w:t>Each lead stores the SLA policy version used for measurement so later policy changes do not rewrite history.</w:t>
      </w:r>
    </w:p>
    <w:p>
      <w:pPr>
        <w:pStyle w:val="Heading2"/>
        <w:keepNext/>
      </w:pPr>
      <w:r>
        <w:t>Notification delivery</w:t>
      </w:r>
    </w:p>
    <w:p>
      <w:pPr>
        <w:spacing w:before="0" w:after="140" w:line="276" w:lineRule="auto"/>
      </w:pPr>
      <w:r>
        <w:rPr>
          <w:rFonts w:ascii="Aptos" w:hAnsi="Aptos"/>
          <w:color w:val="000000"/>
          <w:sz w:val="21"/>
        </w:rPr>
        <w:t>The notification service tries adapters in order and stops at the first accepted delivery. Implemented adapters are AiSensy WhatsApp, web push, and SMTP email. Disabled or deferred providers return explicit failure details rather than pretending to deliver.</w:t>
      </w:r>
    </w:p>
    <w:p>
      <w:pPr>
        <w:pStyle w:val="ListBullet"/>
        <w:spacing w:after="80" w:line="264" w:lineRule="auto"/>
      </w:pPr>
      <w:r>
        <w:rPr>
          <w:rFonts w:ascii="Aptos" w:hAnsi="Aptos"/>
          <w:sz w:val="20"/>
        </w:rPr>
        <w:t>WhatsApp: AiSensy boundary implemented; credentials and template validation are required.</w:t>
      </w:r>
    </w:p>
    <w:p>
      <w:pPr>
        <w:pStyle w:val="ListBullet"/>
        <w:spacing w:after="80" w:line="264" w:lineRule="auto"/>
      </w:pPr>
      <w:r>
        <w:rPr>
          <w:rFonts w:ascii="Aptos" w:hAnsi="Aptos"/>
          <w:sz w:val="20"/>
        </w:rPr>
        <w:t>Push: server-side VAPID delivery implemented; browser subscription registration is still missing.</w:t>
      </w:r>
    </w:p>
    <w:p>
      <w:pPr>
        <w:pStyle w:val="ListBullet"/>
        <w:spacing w:after="80" w:line="264" w:lineRule="auto"/>
      </w:pPr>
      <w:r>
        <w:rPr>
          <w:rFonts w:ascii="Aptos" w:hAnsi="Aptos"/>
          <w:sz w:val="20"/>
        </w:rPr>
        <w:t>Email: nodemailer SMTP delivery implemented; production SMTP and sender settings are required.</w:t>
      </w:r>
    </w:p>
    <w:p>
      <w:pPr>
        <w:pStyle w:val="Heading1"/>
        <w:keepNext/>
      </w:pPr>
      <w:r>
        <w:t>6 Data model and database guarantees</w:t>
      </w:r>
    </w:p>
    <w:p>
      <w:pPr>
        <w:spacing w:before="0" w:after="140" w:line="276" w:lineRule="auto"/>
      </w:pPr>
      <w:r>
        <w:rPr>
          <w:rFonts w:ascii="Aptos" w:hAnsi="Aptos"/>
          <w:color w:val="000000"/>
          <w:sz w:val="21"/>
        </w:rPr>
        <w:t>The schema is written fresh for this standalone project. There are 34 application tables. Every table carries tenant_id, has forced row-level security, and has at least one tenant policy. CI and a database catalog assertion fail when this contract is broken.</w:t>
      </w:r>
    </w:p>
    <w:p>
      <w:pPr>
        <w:pStyle w:val="Heading2"/>
        <w:keepNext/>
      </w:pPr>
      <w:r>
        <w:t>Core data groups</w:t>
      </w:r>
    </w:p>
    <w:tbl>
      <w:tblPr>
        <w:tblStyle w:val="TableGrid"/>
        <w:tblW w:type="auto" w:w="0"/>
        <w:jc w:val="center"/>
        <w:tblLayout w:type="fixed"/>
        <w:tblLook w:firstColumn="1" w:firstRow="1" w:lastColumn="0" w:lastRow="0" w:noHBand="0" w:noVBand="1" w:val="04A0"/>
      </w:tblPr>
      <w:tblGrid>
        <w:gridCol w:w="3369"/>
        <w:gridCol w:w="3369"/>
        <w:gridCol w:w="3369"/>
      </w:tblGrid>
      <w:tr>
        <w:trPr>
          <w:tblHeader w:val="true"/>
        </w:trPr>
        <w:tc>
          <w:tcPr>
            <w:tcW w:type="dxa" w:w="1944"/>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Group</w:t>
            </w:r>
          </w:p>
        </w:tc>
        <w:tc>
          <w:tcPr>
            <w:tcW w:type="dxa" w:w="4608"/>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Tables</w:t>
            </w:r>
          </w:p>
        </w:tc>
        <w:tc>
          <w:tcPr>
            <w:tcW w:type="dxa" w:w="3528"/>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Purpose</w:t>
            </w:r>
          </w:p>
        </w:tc>
      </w:tr>
      <w:tr>
        <w:trPr>
          <w:cantSplit/>
        </w:trP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Tenancy and users</w:t>
            </w:r>
          </w:p>
        </w:tc>
        <w:tc>
          <w:tcPr>
            <w:tcW w:type="dxa" w:w="460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tenants, users, sessions, auth_challenges, user_store_memberships</w:t>
            </w:r>
          </w:p>
        </w:tc>
        <w:tc>
          <w:tcPr>
            <w:tcW w:type="dxa" w:w="35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Tenant identity, roles, access state, sessions, and login challenges.</w:t>
            </w:r>
          </w:p>
        </w:tc>
      </w:tr>
      <w:tr>
        <w:trPr>
          <w:cantSplit/>
        </w:trP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Lead operations</w:t>
            </w:r>
          </w:p>
        </w:tc>
        <w:tc>
          <w:tcPr>
            <w:tcW w:type="dxa" w:w="460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leads, lead_events, attempts, attempt_events, notes, lead_sla_cycles</w:t>
            </w:r>
          </w:p>
        </w:tc>
        <w:tc>
          <w:tcPr>
            <w:tcW w:type="dxa" w:w="35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Lead state, immutable timeline evidence, contact attempts, notes, and SLA cycles.</w:t>
            </w:r>
          </w:p>
        </w:tc>
      </w:tr>
      <w:tr>
        <w:trPr>
          <w:cantSplit/>
        </w:trP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Routing and store setup</w:t>
            </w:r>
          </w:p>
        </w:tc>
        <w:tc>
          <w:tcPr>
            <w:tcW w:type="dxa" w:w="460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stores, business_hours, store_holidays, assignment_rules, targets</w:t>
            </w:r>
          </w:p>
        </w:tc>
        <w:tc>
          <w:tcPr>
            <w:tcW w:type="dxa" w:w="35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Operating hours, holidays, routing rules, staff targets, and store context.</w:t>
            </w:r>
          </w:p>
        </w:tc>
      </w:tr>
      <w:tr>
        <w:trPr>
          <w:cantSplit/>
        </w:trP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Intake</w:t>
            </w:r>
          </w:p>
        </w:tc>
        <w:tc>
          <w:tcPr>
            <w:tcW w:type="dxa" w:w="460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imports, import_rows, source_connections, source_forms, form_field_map, webhook_events, webhook_processing_events</w:t>
            </w:r>
          </w:p>
        </w:tc>
        <w:tc>
          <w:tcPr>
            <w:tcW w:type="dxa" w:w="35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Source configuration, raw intake evidence, mapping, imports, and webhook processing history.</w:t>
            </w:r>
          </w:p>
        </w:tc>
      </w:tr>
      <w:tr>
        <w:trPr>
          <w:cantSplit/>
        </w:trP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Integrations</w:t>
            </w:r>
          </w:p>
        </w:tc>
        <w:tc>
          <w:tcPr>
            <w:tcW w:type="dxa" w:w="460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google_sheet_connections, google_sheet_sync_runs, meta_connections, meta_ad_cache</w:t>
            </w:r>
          </w:p>
        </w:tc>
        <w:tc>
          <w:tcPr>
            <w:tcW w:type="dxa" w:w="35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Connection configuration and synchronization state.</w:t>
            </w:r>
          </w:p>
        </w:tc>
      </w:tr>
      <w:tr>
        <w:trPr>
          <w:cantSplit/>
        </w:trP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Jobs and communications</w:t>
            </w:r>
          </w:p>
        </w:tc>
        <w:tc>
          <w:tcPr>
            <w:tcW w:type="dxa" w:w="460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jobs, job_events, notifications</w:t>
            </w:r>
          </w:p>
        </w:tc>
        <w:tc>
          <w:tcPr>
            <w:tcW w:type="dxa" w:w="35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Business job lifecycle, job evidence, and delivery state.</w:t>
            </w:r>
          </w:p>
        </w:tc>
      </w:tr>
      <w:tr>
        <w:trPr>
          <w:cantSplit/>
        </w:trPr>
        <w:tc>
          <w:tcPr>
            <w:tcW w:type="dxa" w:w="194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Measurement</w:t>
            </w:r>
          </w:p>
        </w:tc>
        <w:tc>
          <w:tcPr>
            <w:tcW w:type="dxa" w:w="460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sla_policies, daily_metrics, reports, audit_log</w:t>
            </w:r>
          </w:p>
        </w:tc>
        <w:tc>
          <w:tcPr>
            <w:tcW w:type="dxa" w:w="35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Versioned SLA policy, immutable historical metrics, generated reports, and audit actions.</w:t>
            </w:r>
          </w:p>
        </w:tc>
      </w:tr>
    </w:tbl>
    <w:p>
      <w:pPr>
        <w:spacing w:after="40"/>
      </w:pPr>
    </w:p>
    <w:p>
      <w:pPr>
        <w:pStyle w:val="Heading2"/>
        <w:keepNext/>
      </w:pPr>
      <w:r>
        <w:t>Important database invariants</w:t>
      </w:r>
    </w:p>
    <w:p>
      <w:pPr>
        <w:pStyle w:val="ListBullet"/>
        <w:spacing w:after="80" w:line="264" w:lineRule="auto"/>
      </w:pPr>
      <w:r>
        <w:rPr>
          <w:rFonts w:ascii="Aptos" w:hAnsi="Aptos"/>
          <w:sz w:val="20"/>
        </w:rPr>
        <w:t>Every application table has a non-null tenant_id.</w:t>
      </w:r>
    </w:p>
    <w:p>
      <w:pPr>
        <w:pStyle w:val="ListBullet"/>
        <w:spacing w:after="80" w:line="264" w:lineRule="auto"/>
      </w:pPr>
      <w:r>
        <w:rPr>
          <w:rFonts w:ascii="Aptos" w:hAnsi="Aptos"/>
          <w:sz w:val="20"/>
        </w:rPr>
        <w:t>Row-level security is enabled and forced so even table owners cannot casually bypass tenant isolation through the application role.</w:t>
      </w:r>
    </w:p>
    <w:p>
      <w:pPr>
        <w:pStyle w:val="ListBullet"/>
        <w:spacing w:after="80" w:line="264" w:lineRule="auto"/>
      </w:pPr>
      <w:r>
        <w:rPr>
          <w:rFonts w:ascii="Aptos" w:hAnsi="Aptos"/>
          <w:sz w:val="20"/>
        </w:rPr>
        <w:t>The web and worker use a non-superuser database role; migrations run as the owner role.</w:t>
      </w:r>
    </w:p>
    <w:p>
      <w:pPr>
        <w:pStyle w:val="ListBullet"/>
        <w:spacing w:after="80" w:line="264" w:lineRule="auto"/>
      </w:pPr>
      <w:r>
        <w:rPr>
          <w:rFonts w:ascii="Aptos" w:hAnsi="Aptos"/>
          <w:sz w:val="20"/>
        </w:rPr>
        <w:t>attempts, attempt_events, and lead_events reject UPDATE and DELETE.</w:t>
      </w:r>
    </w:p>
    <w:p>
      <w:pPr>
        <w:pStyle w:val="ListBullet"/>
        <w:spacing w:after="80" w:line="264" w:lineRule="auto"/>
      </w:pPr>
      <w:r>
        <w:rPr>
          <w:rFonts w:ascii="Aptos" w:hAnsi="Aptos"/>
          <w:sz w:val="20"/>
        </w:rPr>
        <w:t>attempts_current derives current attempt state instead of mutating evidence rows.</w:t>
      </w:r>
    </w:p>
    <w:p>
      <w:pPr>
        <w:pStyle w:val="ListBullet"/>
        <w:spacing w:after="80" w:line="264" w:lineRule="auto"/>
      </w:pPr>
      <w:r>
        <w:rPr>
          <w:rFonts w:ascii="Aptos" w:hAnsi="Aptos"/>
          <w:sz w:val="20"/>
        </w:rPr>
        <w:t>SLA policies are versioned and leads pin the policy version used for their measurement.</w:t>
      </w:r>
    </w:p>
    <w:p>
      <w:pPr>
        <w:pStyle w:val="ListBullet"/>
        <w:spacing w:after="80" w:line="264" w:lineRule="auto"/>
      </w:pPr>
      <w:r>
        <w:rPr>
          <w:rFonts w:ascii="Aptos" w:hAnsi="Aptos"/>
          <w:sz w:val="20"/>
        </w:rPr>
        <w:t>daily_metrics stores per-day snapshots by tenant, salesperson, and campaign so historical dashboards do not drift after schema or logic changes.</w:t>
      </w:r>
    </w:p>
    <w:p>
      <w:pPr>
        <w:pStyle w:val="ListBullet"/>
        <w:spacing w:after="80" w:line="264" w:lineRule="auto"/>
      </w:pPr>
      <w:r>
        <w:rPr>
          <w:rFonts w:ascii="Aptos" w:hAnsi="Aptos"/>
          <w:sz w:val="20"/>
        </w:rPr>
        <w:t>The withTenant helper correctly maps the signed-in session user ID and role to app.user_id and app.user_role for RLS.</w:t>
      </w:r>
    </w:p>
    <w:p>
      <w:pPr>
        <w:pStyle w:val="Heading1"/>
        <w:keepNext/>
      </w:pPr>
      <w:r>
        <w:t>7 Intake integrations</w:t>
      </w:r>
    </w:p>
    <w:p>
      <w:pPr>
        <w:pStyle w:val="Heading2"/>
        <w:keepNext/>
      </w:pPr>
      <w:r>
        <w:t>Canonical sources</w:t>
      </w:r>
    </w:p>
    <w:p>
      <w:pPr>
        <w:spacing w:before="0" w:after="140" w:line="276" w:lineRule="auto"/>
      </w:pPr>
      <w:r>
        <w:rPr>
          <w:rFonts w:ascii="Aptos" w:hAnsi="Aptos"/>
          <w:color w:val="000000"/>
          <w:sz w:val="21"/>
        </w:rPr>
        <w:t>The lead_source enum is future-safe and includes meta_lead_form, csv_import, whatsapp, instagram_dm, instagram_comment, instagram_story_reply, website_form, website_whatsapp, walk_in, phone_inbound, referral, and other. Only CSV and Google Sheets-backed intake are active in this stage; the Sheet connector records leads using csv_import while preserving Sheet provenance.</w:t>
      </w:r>
    </w:p>
    <w:p>
      <w:pPr>
        <w:pStyle w:val="Heading2"/>
        <w:keepNext/>
      </w:pPr>
      <w:r>
        <w:t>CSV import</w:t>
      </w:r>
    </w:p>
    <w:p>
      <w:pPr>
        <w:pStyle w:val="ListBullet"/>
        <w:spacing w:after="80" w:line="264" w:lineRule="auto"/>
      </w:pPr>
      <w:r>
        <w:rPr>
          <w:rFonts w:ascii="Aptos" w:hAnsi="Aptos"/>
          <w:sz w:val="20"/>
        </w:rPr>
        <w:t>Authenticated upload route and admin interface are implemented.</w:t>
      </w:r>
    </w:p>
    <w:p>
      <w:pPr>
        <w:pStyle w:val="ListBullet"/>
        <w:spacing w:after="80" w:line="264" w:lineRule="auto"/>
      </w:pPr>
      <w:r>
        <w:rPr>
          <w:rFonts w:ascii="Aptos" w:hAnsi="Aptos"/>
          <w:sz w:val="20"/>
        </w:rPr>
        <w:t>Rows are normalized into canonical lead candidates.</w:t>
      </w:r>
    </w:p>
    <w:p>
      <w:pPr>
        <w:pStyle w:val="ListBullet"/>
        <w:spacing w:after="80" w:line="264" w:lineRule="auto"/>
      </w:pPr>
      <w:r>
        <w:rPr>
          <w:rFonts w:ascii="Aptos" w:hAnsi="Aptos"/>
          <w:sz w:val="20"/>
        </w:rPr>
        <w:t>A deterministic checksum-based fallback external ID prevents needless duplication when an explicit ID is missing.</w:t>
      </w:r>
    </w:p>
    <w:p>
      <w:pPr>
        <w:pStyle w:val="ListBullet"/>
        <w:spacing w:after="80" w:line="264" w:lineRule="auto"/>
      </w:pPr>
      <w:r>
        <w:rPr>
          <w:rFonts w:ascii="Aptos" w:hAnsi="Aptos"/>
          <w:sz w:val="20"/>
        </w:rPr>
        <w:t>Imports and individual rows retain status and errors for auditability.</w:t>
      </w:r>
    </w:p>
    <w:p>
      <w:pPr>
        <w:pStyle w:val="Heading2"/>
        <w:keepNext/>
      </w:pPr>
      <w:r>
        <w:t>Google Sheets</w:t>
      </w:r>
    </w:p>
    <w:p>
      <w:pPr>
        <w:spacing w:before="0" w:after="140" w:line="276" w:lineRule="auto"/>
      </w:pPr>
      <w:r>
        <w:rPr>
          <w:rFonts w:ascii="Aptos" w:hAnsi="Aptos"/>
          <w:color w:val="000000"/>
          <w:sz w:val="21"/>
        </w:rPr>
        <w:t>Google Sheets intake uses a Google Cloud service account and read-only Sheets API access. The private key stays in server environment variables and is never sent to the browser or stored in the database.</w:t>
      </w:r>
    </w:p>
    <w:p>
      <w:pPr>
        <w:spacing w:after="80" w:line="264" w:lineRule="auto"/>
        <w:ind w:left="403" w:hanging="403"/>
      </w:pPr>
      <w:r>
        <w:rPr>
          <w:rFonts w:ascii="Aptos" w:hAnsi="Aptos"/>
          <w:sz w:val="20"/>
        </w:rPr>
        <w:t>1.  Enable the Google Sheets API in a Google Cloud project and create a service account with a JSON key.</w:t>
      </w:r>
    </w:p>
    <w:p>
      <w:pPr>
        <w:spacing w:after="80" w:line="264" w:lineRule="auto"/>
        <w:ind w:left="403" w:hanging="403"/>
      </w:pPr>
      <w:r>
        <w:rPr>
          <w:rFonts w:ascii="Aptos" w:hAnsi="Aptos"/>
          <w:sz w:val="20"/>
        </w:rPr>
        <w:t>2.  Set GOOGLE_SERVICE_ACCOUNT_EMAIL and GOOGLE_SERVICE_ACCOUNT_PRIVATE_KEY in the server environment.</w:t>
      </w:r>
    </w:p>
    <w:p>
      <w:pPr>
        <w:spacing w:after="80" w:line="264" w:lineRule="auto"/>
        <w:ind w:left="403" w:hanging="403"/>
      </w:pPr>
      <w:r>
        <w:rPr>
          <w:rFonts w:ascii="Aptos" w:hAnsi="Aptos"/>
          <w:sz w:val="20"/>
        </w:rPr>
        <w:t>3.  Share the active Sheet as Viewer with the service account email.</w:t>
      </w:r>
    </w:p>
    <w:p>
      <w:pPr>
        <w:spacing w:after="80" w:line="264" w:lineRule="auto"/>
        <w:ind w:left="403" w:hanging="403"/>
      </w:pPr>
      <w:r>
        <w:rPr>
          <w:rFonts w:ascii="Aptos" w:hAnsi="Aptos"/>
          <w:sz w:val="20"/>
        </w:rPr>
        <w:t>4.  Set GOOGLE_SHEETS_ENABLED=true and restart web and worker services.</w:t>
      </w:r>
    </w:p>
    <w:p>
      <w:pPr>
        <w:spacing w:after="80" w:line="264" w:lineRule="auto"/>
        <w:ind w:left="403" w:hanging="403"/>
      </w:pPr>
      <w:r>
        <w:rPr>
          <w:rFonts w:ascii="Aptos" w:hAnsi="Aptos"/>
          <w:sz w:val="20"/>
        </w:rPr>
        <w:t>5.  In Admin, save the Sheet URL, tab, header row, and column mapping; test the connection and run Sync now.</w:t>
      </w:r>
    </w:p>
    <w:p>
      <w:pPr>
        <w:pStyle w:val="ListBullet"/>
        <w:spacing w:after="80" w:line="264" w:lineRule="auto"/>
      </w:pPr>
      <w:r>
        <w:rPr>
          <w:rFonts w:ascii="Aptos" w:hAnsi="Aptos"/>
          <w:sz w:val="20"/>
        </w:rPr>
        <w:t>Default poll interval: every minute.</w:t>
      </w:r>
    </w:p>
    <w:p>
      <w:pPr>
        <w:pStyle w:val="ListBullet"/>
        <w:spacing w:after="80" w:line="264" w:lineRule="auto"/>
      </w:pPr>
      <w:r>
        <w:rPr>
          <w:rFonts w:ascii="Aptos" w:hAnsi="Aptos"/>
          <w:sz w:val="20"/>
        </w:rPr>
        <w:t>Default columns: external_id, created_at, name, phone, email, city, campaign, and ad.</w:t>
      </w:r>
    </w:p>
    <w:p>
      <w:pPr>
        <w:pStyle w:val="ListBullet"/>
        <w:spacing w:after="80" w:line="264" w:lineRule="auto"/>
      </w:pPr>
      <w:r>
        <w:rPr>
          <w:rFonts w:ascii="Aptos" w:hAnsi="Aptos"/>
          <w:sz w:val="20"/>
        </w:rPr>
        <w:t>Only phone or email is mandatory.</w:t>
      </w:r>
    </w:p>
    <w:p>
      <w:pPr>
        <w:pStyle w:val="ListBullet"/>
        <w:spacing w:after="80" w:line="264" w:lineRule="auto"/>
      </w:pPr>
      <w:r>
        <w:rPr>
          <w:rFonts w:ascii="Aptos" w:hAnsi="Aptos"/>
          <w:sz w:val="20"/>
        </w:rPr>
        <w:t>Moving a row does not change the deterministic external ID.</w:t>
      </w:r>
    </w:p>
    <w:p>
      <w:pPr>
        <w:pStyle w:val="ListBullet"/>
        <w:spacing w:after="80" w:line="264" w:lineRule="auto"/>
      </w:pPr>
      <w:r>
        <w:rPr>
          <w:rFonts w:ascii="Aptos" w:hAnsi="Aptos"/>
          <w:sz w:val="20"/>
        </w:rPr>
        <w:t>Existing phone numbers are recorded as repeat enquiries.</w:t>
      </w:r>
    </w:p>
    <w:p>
      <w:pPr>
        <w:pStyle w:val="ListBullet"/>
        <w:spacing w:after="80" w:line="264" w:lineRule="auto"/>
      </w:pPr>
      <w:r>
        <w:rPr>
          <w:rFonts w:ascii="Aptos" w:hAnsi="Aptos"/>
          <w:sz w:val="20"/>
        </w:rPr>
        <w:t>Known limit: polling reads up to row 5000 and does not use a Drive webhook.</w:t>
      </w:r>
    </w:p>
    <w:p>
      <w:pPr>
        <w:pStyle w:val="Heading2"/>
        <w:keepNext/>
      </w:pPr>
      <w:r>
        <w:t>Meta Lead Ads</w:t>
      </w:r>
    </w:p>
    <w:p>
      <w:pPr>
        <w:spacing w:before="0" w:after="140" w:line="276" w:lineRule="auto"/>
      </w:pPr>
      <w:r>
        <w:rPr>
          <w:rFonts w:ascii="Aptos" w:hAnsi="Aptos"/>
          <w:color w:val="000000"/>
          <w:sz w:val="21"/>
        </w:rPr>
        <w:t>Meta is intentionally deferred. The repository includes enum values, connection tables, cache tables, environment keys, a registered adapter, and disabled worker schedules so the integration can be added without changing the core data model. The adapter currently throws MetaConnectionDeferredError and reports an unhealthy deferred connection.</w:t>
      </w:r>
    </w:p>
    <w:p>
      <w:pPr>
        <w:spacing w:before="0" w:after="140" w:line="276" w:lineRule="auto"/>
      </w:pPr>
      <w:r>
        <w:rPr>
          <w:rFonts w:ascii="Aptos" w:hAnsi="Aptos"/>
          <w:color w:val="000000"/>
          <w:sz w:val="21"/>
        </w:rPr>
        <w:t>Still required for Meta: webhook verification and signature handling, raw-body persistence with disk-spool fallback, event decoding, lead hydration through Graph API, hourly and nightly reconciliation, token encryption and refresh, Page and form discovery, permissions review, receipt and reply processing, admin connection flow, production alerting, and end-to-end verification in the tenant's Business Manager.</w:t>
      </w:r>
    </w:p>
    <w:p>
      <w:pPr>
        <w:pStyle w:val="Heading1"/>
        <w:keepNext/>
      </w:pPr>
      <w:r>
        <w:t>8 Authentication security and offline behavior</w:t>
      </w:r>
    </w:p>
    <w:p>
      <w:pPr>
        <w:pStyle w:val="Heading2"/>
        <w:keepNext/>
      </w:pPr>
      <w:r>
        <w:t>Authentication</w:t>
      </w:r>
    </w:p>
    <w:p>
      <w:pPr>
        <w:pStyle w:val="ListBullet"/>
        <w:spacing w:after="80" w:line="264" w:lineRule="auto"/>
      </w:pPr>
      <w:r>
        <w:rPr>
          <w:rFonts w:ascii="Aptos" w:hAnsi="Aptos"/>
          <w:sz w:val="20"/>
        </w:rPr>
        <w:t>Phone OTP and email magic-link request and verification routes are implemented.</w:t>
      </w:r>
    </w:p>
    <w:p>
      <w:pPr>
        <w:pStyle w:val="ListBullet"/>
        <w:spacing w:after="80" w:line="264" w:lineRule="auto"/>
      </w:pPr>
      <w:r>
        <w:rPr>
          <w:rFonts w:ascii="Aptos" w:hAnsi="Aptos"/>
          <w:sz w:val="20"/>
        </w:rPr>
        <w:t>Login requests are rate limited.</w:t>
      </w:r>
    </w:p>
    <w:p>
      <w:pPr>
        <w:pStyle w:val="ListBullet"/>
        <w:spacing w:after="80" w:line="264" w:lineRule="auto"/>
      </w:pPr>
      <w:r>
        <w:rPr>
          <w:rFonts w:ascii="Aptos" w:hAnsi="Aptos"/>
          <w:sz w:val="20"/>
        </w:rPr>
        <w:t>Production mode requires a valid server session and tenant context.</w:t>
      </w:r>
    </w:p>
    <w:p>
      <w:pPr>
        <w:pStyle w:val="ListBullet"/>
        <w:spacing w:after="80" w:line="264" w:lineRule="auto"/>
      </w:pPr>
      <w:r>
        <w:rPr>
          <w:rFonts w:ascii="Aptos" w:hAnsi="Aptos"/>
          <w:sz w:val="20"/>
        </w:rPr>
        <w:t>Logout revokes the server session and returns Clear-Site-Data so browser state is removed.</w:t>
      </w:r>
    </w:p>
    <w:p>
      <w:pPr>
        <w:pStyle w:val="ListBullet"/>
        <w:spacing w:after="80" w:line="264" w:lineRule="auto"/>
      </w:pPr>
      <w:r>
        <w:rPr>
          <w:rFonts w:ascii="Aptos" w:hAnsi="Aptos"/>
          <w:sz w:val="20"/>
        </w:rPr>
        <w:t>Fresh production bootstrap creates or reactivates one administrator from BOOTSTRAP_ADMIN_EMAIL without loading demo leads.</w:t>
      </w:r>
    </w:p>
    <w:p>
      <w:pPr>
        <w:pStyle w:val="ListBullet"/>
        <w:spacing w:after="80" w:line="264" w:lineRule="auto"/>
      </w:pPr>
      <w:r>
        <w:rPr>
          <w:rFonts w:ascii="Aptos" w:hAnsi="Aptos"/>
          <w:sz w:val="20"/>
        </w:rPr>
        <w:t>Owner or Admin can then add, enable, disable, and assign roles to other users.</w:t>
      </w:r>
    </w:p>
    <w:p>
      <w:pPr>
        <w:pStyle w:val="Heading2"/>
        <w:keepNext/>
      </w:pPr>
      <w:r>
        <w:t>Browser and service-worker safeguards</w:t>
      </w:r>
    </w:p>
    <w:p>
      <w:pPr>
        <w:spacing w:before="0" w:after="140" w:line="276" w:lineRule="auto"/>
      </w:pPr>
      <w:r>
        <w:rPr>
          <w:rFonts w:ascii="Aptos" w:hAnsi="Aptos"/>
          <w:color w:val="000000"/>
          <w:sz w:val="21"/>
        </w:rPr>
        <w:t>The service worker never caches authenticated application pages or API responses. It only provides a minimal offline shell and supports the temporary mutation queue. This prevents one signed-in user's sensitive lead data from being exposed to another user through a stale device cache.</w:t>
      </w:r>
    </w:p>
    <w:p>
      <w:pPr>
        <w:pStyle w:val="Heading2"/>
        <w:keepNext/>
      </w:pPr>
      <w:r>
        <w:t>Security controls</w:t>
      </w:r>
    </w:p>
    <w:p>
      <w:pPr>
        <w:pStyle w:val="ListBullet"/>
        <w:spacing w:after="80" w:line="264" w:lineRule="auto"/>
      </w:pPr>
      <w:r>
        <w:rPr>
          <w:rFonts w:ascii="Aptos" w:hAnsi="Aptos"/>
          <w:sz w:val="20"/>
        </w:rPr>
        <w:t>Caddy sets HSTS, X-Content-Type-Options, and a strict referrer policy and removes the Server header.</w:t>
      </w:r>
    </w:p>
    <w:p>
      <w:pPr>
        <w:pStyle w:val="ListBullet"/>
        <w:spacing w:after="80" w:line="264" w:lineRule="auto"/>
      </w:pPr>
      <w:r>
        <w:rPr>
          <w:rFonts w:ascii="Aptos" w:hAnsi="Aptos"/>
          <w:sz w:val="20"/>
        </w:rPr>
        <w:t>Production preflight rejects demo mode, insecure public URLs, placeholder session secrets, missing database passwords, incomplete Google credentials, non-persistent report storage, and an accidentally enabled Meta connection.</w:t>
      </w:r>
    </w:p>
    <w:p>
      <w:pPr>
        <w:pStyle w:val="ListBullet"/>
        <w:spacing w:after="80" w:line="264" w:lineRule="auto"/>
      </w:pPr>
      <w:r>
        <w:rPr>
          <w:rFonts w:ascii="Aptos" w:hAnsi="Aptos"/>
          <w:sz w:val="20"/>
        </w:rPr>
        <w:t>Sensitive connection secrets are supplied through environment variables.</w:t>
      </w:r>
    </w:p>
    <w:p>
      <w:pPr>
        <w:pStyle w:val="ListBullet"/>
        <w:spacing w:after="80" w:line="264" w:lineRule="auto"/>
      </w:pPr>
      <w:r>
        <w:rPr>
          <w:rFonts w:ascii="Aptos" w:hAnsi="Aptos"/>
          <w:sz w:val="20"/>
        </w:rPr>
        <w:t>Audit log tables and append-only event histories retain high-value operational evidence.</w:t>
      </w:r>
    </w:p>
    <w:p>
      <w:pPr>
        <w:pStyle w:val="Heading1"/>
        <w:keepNext/>
      </w:pPr>
      <w:r>
        <w:t>9 Background jobs reports and scheduled processing</w:t>
      </w:r>
    </w:p>
    <w:p>
      <w:pPr>
        <w:pStyle w:val="Heading2"/>
        <w:keepNext/>
      </w:pPr>
      <w:r>
        <w:t>Worker queues and schedules</w:t>
      </w:r>
    </w:p>
    <w:tbl>
      <w:tblPr>
        <w:tblStyle w:val="TableGrid"/>
        <w:tblW w:type="auto" w:w="0"/>
        <w:jc w:val="center"/>
        <w:tblLayout w:type="fixed"/>
        <w:tblLook w:firstColumn="1" w:firstRow="1" w:lastColumn="0" w:lastRow="0" w:noHBand="0" w:noVBand="1" w:val="04A0"/>
      </w:tblPr>
      <w:tblGrid>
        <w:gridCol w:w="3369"/>
        <w:gridCol w:w="3369"/>
        <w:gridCol w:w="3369"/>
      </w:tblGrid>
      <w:tr>
        <w:trPr>
          <w:tblHeader w:val="true"/>
        </w:trPr>
        <w:tc>
          <w:tcPr>
            <w:tcW w:type="dxa" w:w="2088"/>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Queue</w:t>
            </w:r>
          </w:p>
        </w:tc>
        <w:tc>
          <w:tcPr>
            <w:tcW w:type="dxa" w:w="2232"/>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Schedule</w:t>
            </w:r>
          </w:p>
        </w:tc>
        <w:tc>
          <w:tcPr>
            <w:tcW w:type="dxa" w:w="5760"/>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Behavior</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sla.check</w:t>
            </w:r>
          </w:p>
        </w:tc>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Every minute</w:t>
            </w:r>
          </w:p>
        </w:tc>
        <w:tc>
          <w:tcPr>
            <w:tcW w:type="dxa" w:w="57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Finds breached SLA cycles and queues escalation alerts.</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followup.due</w:t>
            </w:r>
          </w:p>
        </w:tc>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Every minute</w:t>
            </w:r>
          </w:p>
        </w:tc>
        <w:tc>
          <w:tcPr>
            <w:tcW w:type="dxa" w:w="57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Finds leads whose follow-up is due.</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notification.send</w:t>
            </w:r>
          </w:p>
        </w:tc>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Every minute</w:t>
            </w:r>
          </w:p>
        </w:tc>
        <w:tc>
          <w:tcPr>
            <w:tcW w:type="dxa" w:w="57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Attempts queued notification delivery with provider fallback.</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google-sheets.sync</w:t>
            </w:r>
          </w:p>
        </w:tc>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Configurable; default every minute</w:t>
            </w:r>
          </w:p>
        </w:tc>
        <w:tc>
          <w:tcPr>
            <w:tcW w:type="dxa" w:w="57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Polls the enabled Sheet and records new, repeat, and unchanged rows.</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metrics.daily</w:t>
            </w:r>
          </w:p>
        </w:tc>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23:55 IST daily</w:t>
            </w:r>
          </w:p>
        </w:tc>
        <w:tc>
          <w:tcPr>
            <w:tcW w:type="dxa" w:w="57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Writes daily metrics per tenant, salesperson, and campaign.</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digest.daily</w:t>
            </w:r>
          </w:p>
        </w:tc>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21:15 IST daily</w:t>
            </w:r>
          </w:p>
        </w:tc>
        <w:tc>
          <w:tcPr>
            <w:tcW w:type="dxa" w:w="57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Queues the owner digest.</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report.weekly</w:t>
            </w:r>
          </w:p>
        </w:tc>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10:00 IST every Monday</w:t>
            </w:r>
          </w:p>
        </w:tc>
        <w:tc>
          <w:tcPr>
            <w:tcW w:type="dxa" w:w="57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Generates the previous week's PDF report.</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integrity.daily</w:t>
            </w:r>
          </w:p>
        </w:tc>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02:20 IST daily</w:t>
            </w:r>
          </w:p>
        </w:tc>
        <w:tc>
          <w:tcPr>
            <w:tcW w:type="dxa" w:w="57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Runs database integrity checks.</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webhook.recover</w:t>
            </w:r>
          </w:p>
        </w:tc>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Registered, not fully implemented</w:t>
            </w:r>
          </w:p>
        </w:tc>
        <w:tc>
          <w:tcPr>
            <w:tcW w:type="dxa" w:w="57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Currently logs recovery work; disk-spool replay remains incomplete.</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meta.reconcile</w:t>
            </w:r>
          </w:p>
        </w:tc>
        <w:tc>
          <w:tcPr>
            <w:tcW w:type="dxa" w:w="223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Disabled unless Meta is enabled</w:t>
            </w:r>
          </w:p>
        </w:tc>
        <w:tc>
          <w:tcPr>
            <w:tcW w:type="dxa" w:w="57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Reserved for hourly and nightly Meta reconciliation.</w:t>
            </w:r>
          </w:p>
        </w:tc>
      </w:tr>
    </w:tbl>
    <w:p>
      <w:pPr>
        <w:spacing w:after="40"/>
      </w:pPr>
    </w:p>
    <w:p>
      <w:pPr>
        <w:pStyle w:val="Heading2"/>
        <w:keepNext/>
      </w:pPr>
      <w:r>
        <w:t>Reporting</w:t>
      </w:r>
    </w:p>
    <w:p>
      <w:pPr>
        <w:pStyle w:val="ListBullet"/>
        <w:spacing w:after="80" w:line="264" w:lineRule="auto"/>
      </w:pPr>
      <w:r>
        <w:rPr>
          <w:rFonts w:ascii="Aptos" w:hAnsi="Aptos"/>
          <w:sz w:val="20"/>
        </w:rPr>
        <w:t>The current day is calculated from live tenant data.</w:t>
      </w:r>
    </w:p>
    <w:p>
      <w:pPr>
        <w:pStyle w:val="ListBullet"/>
        <w:spacing w:after="80" w:line="264" w:lineRule="auto"/>
      </w:pPr>
      <w:r>
        <w:rPr>
          <w:rFonts w:ascii="Aptos" w:hAnsi="Aptos"/>
          <w:sz w:val="20"/>
        </w:rPr>
        <w:t>Past days use immutable daily_metrics snapshots.</w:t>
      </w:r>
    </w:p>
    <w:p>
      <w:pPr>
        <w:pStyle w:val="ListBullet"/>
        <w:spacing w:after="80" w:line="264" w:lineRule="auto"/>
      </w:pPr>
      <w:r>
        <w:rPr>
          <w:rFonts w:ascii="Aptos" w:hAnsi="Aptos"/>
          <w:sz w:val="20"/>
        </w:rPr>
        <w:t>A weekly worker report is generated for an explicit period and stored in the reports table and persistent reports directory.</w:t>
      </w:r>
    </w:p>
    <w:p>
      <w:pPr>
        <w:pStyle w:val="ListBullet"/>
        <w:spacing w:after="80" w:line="264" w:lineRule="auto"/>
      </w:pPr>
      <w:r>
        <w:rPr>
          <w:rFonts w:ascii="Aptos" w:hAnsi="Aptos"/>
          <w:sz w:val="20"/>
        </w:rPr>
        <w:t>The reports screen exposes report history and a test digest action.</w:t>
      </w:r>
    </w:p>
    <w:p>
      <w:pPr>
        <w:pStyle w:val="ListBullet"/>
        <w:spacing w:after="80" w:line="264" w:lineRule="auto"/>
      </w:pPr>
      <w:r>
        <w:rPr>
          <w:rFonts w:ascii="Aptos" w:hAnsi="Aptos"/>
          <w:sz w:val="20"/>
        </w:rPr>
        <w:t>Known issue: the browser /reports/weekly print view currently labels a seven-day period but uses the current-day dashboard model. The scheduled PDF generator uses the correct period. A true weekly browser read model is still required.</w:t>
      </w:r>
    </w:p>
    <w:p>
      <w:pPr>
        <w:pStyle w:val="ListBullet"/>
        <w:spacing w:after="80" w:line="264" w:lineRule="auto"/>
      </w:pPr>
      <w:r>
        <w:rPr>
          <w:rFonts w:ascii="Aptos" w:hAnsi="Aptos"/>
          <w:sz w:val="20"/>
        </w:rPr>
        <w:t>Known issue: report history rows do not yet expose download links or actions.</w:t>
      </w:r>
    </w:p>
    <w:p>
      <w:pPr>
        <w:pStyle w:val="Heading1"/>
        <w:keepNext/>
      </w:pPr>
      <w:r>
        <w:t>10 API inventory</w:t>
      </w:r>
    </w:p>
    <w:tbl>
      <w:tblPr>
        <w:tblStyle w:val="TableGrid"/>
        <w:tblW w:type="auto" w:w="0"/>
        <w:jc w:val="center"/>
        <w:tblLayout w:type="fixed"/>
        <w:tblLook w:firstColumn="1" w:firstRow="1" w:lastColumn="0" w:lastRow="0" w:noHBand="0" w:noVBand="1" w:val="04A0"/>
      </w:tblPr>
      <w:tblGrid>
        <w:gridCol w:w="3369"/>
        <w:gridCol w:w="3369"/>
        <w:gridCol w:w="3369"/>
      </w:tblGrid>
      <w:tr>
        <w:trPr>
          <w:tblHeader w:val="true"/>
        </w:trPr>
        <w:tc>
          <w:tcPr>
            <w:tcW w:type="dxa" w:w="1224"/>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Method</w:t>
            </w:r>
          </w:p>
        </w:tc>
        <w:tc>
          <w:tcPr>
            <w:tcW w:type="dxa" w:w="4176"/>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Route</w:t>
            </w:r>
          </w:p>
        </w:tc>
        <w:tc>
          <w:tcPr>
            <w:tcW w:type="dxa" w:w="4680"/>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Purpose</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GET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/api/health</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Container and external health check.</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POST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/api/auth/request</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Request phone OTP or email magic link.</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POST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/api/auth/verify</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Verify challenge and create session.</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POST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/api/auth/logout</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Revoke session and clear browser state.</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GET POST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/api/admin/users</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List users and add a tenant user.</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PATCH</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/api/admin/users/[id]</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Update user status or role.</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POST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/api/imports/csv</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Import lead rows from CSV.</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GET PUT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/api/integrations/google-sheets</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Read or save tenant Sheet configuration.</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POST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/api/integrations/google-sheets/test</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Test read-only service-account access and mapping.</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POST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/api/integrations/google-sheets/sync</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Run a manual Sheet synchronization.</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POST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/api/attempts</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Create an immutable contact attempt.</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POST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/api/attempts/[id]/events</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Append attempt outcome, disposition, receipt, duration, or note evidence.</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GET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/api/leads/[id]</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Read a tenant-scoped lead detail model.</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POST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/api/leads/[id]/notes</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Append a lead note, including optional offline timestamp.</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POST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/api/leads/[id]/assign</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Reassign the lead.</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POST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/api/leads/[id]/stage</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Change pipeline stage.</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POST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/api/leads/[id]/close</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Evaluate gate and close the lead with evidence.</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POST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/api/leads/[id]/quality-review</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Approve or return quality review with independent gate enforcement.</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GET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/api/reports/[id]</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Retrieve a generated report.</w:t>
            </w:r>
          </w:p>
        </w:tc>
      </w:tr>
      <w:tr>
        <w:trPr>
          <w:cantSplit/>
        </w:trPr>
        <w:tc>
          <w:tcPr>
            <w:tcW w:type="dxa" w:w="12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POST</w:t>
            </w:r>
          </w:p>
        </w:tc>
        <w:tc>
          <w:tcPr>
            <w:tcW w:type="dxa" w:w="41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/api/reports/digest/test</w:t>
            </w:r>
          </w:p>
        </w:tc>
        <w:tc>
          <w:tcPr>
            <w:tcW w:type="dxa" w:w="46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Queue a test owner digest.</w:t>
            </w:r>
          </w:p>
        </w:tc>
      </w:tr>
    </w:tbl>
    <w:p>
      <w:pPr>
        <w:spacing w:after="40"/>
      </w:pPr>
    </w:p>
    <w:p>
      <w:pPr>
        <w:pStyle w:val="Heading1"/>
        <w:keepNext/>
      </w:pPr>
      <w:r>
        <w:t>11 Repository and deployment layout</w:t>
      </w:r>
    </w:p>
    <w:p>
      <w:pPr>
        <w:pStyle w:val="Heading2"/>
        <w:keepNext/>
      </w:pPr>
      <w:r>
        <w:t>Repository map</w:t>
      </w:r>
    </w:p>
    <w:tbl>
      <w:tblPr>
        <w:tblStyle w:val="TableGrid"/>
        <w:tblW w:type="auto" w:w="0"/>
        <w:jc w:val="center"/>
        <w:tblLayout w:type="fixed"/>
        <w:tblLook w:firstColumn="1" w:firstRow="1" w:lastColumn="0" w:lastRow="0" w:noHBand="0" w:noVBand="1" w:val="04A0"/>
      </w:tblPr>
      <w:tblGrid>
        <w:gridCol w:w="5054"/>
        <w:gridCol w:w="5054"/>
      </w:tblGrid>
      <w:tr>
        <w:trPr>
          <w:tblHeader w:val="true"/>
        </w:trPr>
        <w:tc>
          <w:tcPr>
            <w:tcW w:type="dxa" w:w="2880"/>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Path</w:t>
            </w:r>
          </w:p>
        </w:tc>
        <w:tc>
          <w:tcPr>
            <w:tcW w:type="dxa" w:w="7200"/>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Purpose</w:t>
            </w:r>
          </w:p>
        </w:tc>
      </w:tr>
      <w:tr>
        <w:trPr>
          <w:cantSplit/>
        </w:trPr>
        <w:tc>
          <w:tcPr>
            <w:tcW w:type="dxa" w:w="28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src/app</w:t>
            </w:r>
          </w:p>
        </w:tc>
        <w:tc>
          <w:tcPr>
            <w:tcW w:type="dxa" w:w="72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Role-specific pages, layouts, and HTTP route handlers.</w:t>
            </w:r>
          </w:p>
        </w:tc>
      </w:tr>
      <w:tr>
        <w:trPr>
          <w:cantSplit/>
        </w:trPr>
        <w:tc>
          <w:tcPr>
            <w:tcW w:type="dxa" w:w="28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src/components</w:t>
            </w:r>
          </w:p>
        </w:tc>
        <w:tc>
          <w:tcPr>
            <w:tcW w:type="dxa" w:w="72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Responsive shell and shared application components.</w:t>
            </w:r>
          </w:p>
        </w:tc>
      </w:tr>
      <w:tr>
        <w:trPr>
          <w:cantSplit/>
        </w:trPr>
        <w:tc>
          <w:tcPr>
            <w:tcW w:type="dxa" w:w="28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src/db</w:t>
            </w:r>
          </w:p>
        </w:tc>
        <w:tc>
          <w:tcPr>
            <w:tcW w:type="dxa" w:w="72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Drizzle schema, tenant transaction helper, and ordered SQL migrations.</w:t>
            </w:r>
          </w:p>
        </w:tc>
      </w:tr>
      <w:tr>
        <w:trPr>
          <w:cantSplit/>
        </w:trPr>
        <w:tc>
          <w:tcPr>
            <w:tcW w:type="dxa" w:w="28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src/domain</w:t>
            </w:r>
          </w:p>
        </w:tc>
        <w:tc>
          <w:tcPr>
            <w:tcW w:type="dxa" w:w="72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Normalization, SLA, closure gates, types, and read-model contracts.</w:t>
            </w:r>
          </w:p>
        </w:tc>
      </w:tr>
      <w:tr>
        <w:trPr>
          <w:cantSplit/>
        </w:trPr>
        <w:tc>
          <w:tcPr>
            <w:tcW w:type="dxa" w:w="28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src/services</w:t>
            </w:r>
          </w:p>
        </w:tc>
        <w:tc>
          <w:tcPr>
            <w:tcW w:type="dxa" w:w="72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Tenant read models, metrics, digests, escalation, integrity, notification delivery, Sheet sync, and weekly reports.</w:t>
            </w:r>
          </w:p>
        </w:tc>
      </w:tr>
      <w:tr>
        <w:trPr>
          <w:cantSplit/>
        </w:trPr>
        <w:tc>
          <w:tcPr>
            <w:tcW w:type="dxa" w:w="28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src/lead-sources</w:t>
            </w:r>
          </w:p>
        </w:tc>
        <w:tc>
          <w:tcPr>
            <w:tcW w:type="dxa" w:w="72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Adapter contract, CSV implementation, registry, and deferred Meta adapter.</w:t>
            </w:r>
          </w:p>
        </w:tc>
      </w:tr>
      <w:tr>
        <w:trPr>
          <w:cantSplit/>
        </w:trPr>
        <w:tc>
          <w:tcPr>
            <w:tcW w:type="dxa" w:w="28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src/integrations</w:t>
            </w:r>
          </w:p>
        </w:tc>
        <w:tc>
          <w:tcPr>
            <w:tcW w:type="dxa" w:w="72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Authenticated Google Sheets client and row mapping.</w:t>
            </w:r>
          </w:p>
        </w:tc>
      </w:tr>
      <w:tr>
        <w:trPr>
          <w:cantSplit/>
        </w:trPr>
        <w:tc>
          <w:tcPr>
            <w:tcW w:type="dxa" w:w="28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src/notifications</w:t>
            </w:r>
          </w:p>
        </w:tc>
        <w:tc>
          <w:tcPr>
            <w:tcW w:type="dxa" w:w="72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WhatsApp, push, email adapters, and fallback orchestration.</w:t>
            </w:r>
          </w:p>
        </w:tc>
      </w:tr>
      <w:tr>
        <w:trPr>
          <w:cantSplit/>
        </w:trPr>
        <w:tc>
          <w:tcPr>
            <w:tcW w:type="dxa" w:w="28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src/worker</w:t>
            </w:r>
          </w:p>
        </w:tc>
        <w:tc>
          <w:tcPr>
            <w:tcW w:type="dxa" w:w="72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pg-boss workers and schedules.</w:t>
            </w:r>
          </w:p>
        </w:tc>
      </w:tr>
      <w:tr>
        <w:trPr>
          <w:cantSplit/>
        </w:trPr>
        <w:tc>
          <w:tcPr>
            <w:tcW w:type="dxa" w:w="28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scripts</w:t>
            </w:r>
          </w:p>
        </w:tc>
        <w:tc>
          <w:tcPr>
            <w:tcW w:type="dxa" w:w="72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Migration, bootstrap, demo seed, launch checks, and database contract verification.</w:t>
            </w:r>
          </w:p>
        </w:tc>
      </w:tr>
      <w:tr>
        <w:trPr>
          <w:cantSplit/>
        </w:trPr>
        <w:tc>
          <w:tcPr>
            <w:tcW w:type="dxa" w:w="28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infra/caddy</w:t>
            </w:r>
          </w:p>
        </w:tc>
        <w:tc>
          <w:tcPr>
            <w:tcW w:type="dxa" w:w="72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Caddy reverse-proxy configuration.</w:t>
            </w:r>
          </w:p>
        </w:tc>
      </w:tr>
      <w:tr>
        <w:trPr>
          <w:cantSplit/>
        </w:trPr>
        <w:tc>
          <w:tcPr>
            <w:tcW w:type="dxa" w:w="28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infra/postgres</w:t>
            </w:r>
          </w:p>
        </w:tc>
        <w:tc>
          <w:tcPr>
            <w:tcW w:type="dxa" w:w="72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Initialization of the restricted application database role.</w:t>
            </w:r>
          </w:p>
        </w:tc>
      </w:tr>
      <w:tr>
        <w:trPr>
          <w:cantSplit/>
        </w:trPr>
        <w:tc>
          <w:tcPr>
            <w:tcW w:type="dxa" w:w="288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tests</w:t>
            </w:r>
          </w:p>
        </w:tc>
        <w:tc>
          <w:tcPr>
            <w:tcW w:type="dxa" w:w="720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Domain, integration-boundary, production-contract, notification, and tenant-security tests.</w:t>
            </w:r>
          </w:p>
        </w:tc>
      </w:tr>
    </w:tbl>
    <w:p>
      <w:pPr>
        <w:spacing w:after="40"/>
      </w:pPr>
    </w:p>
    <w:p>
      <w:pPr>
        <w:pStyle w:val="Heading2"/>
        <w:keepNext/>
      </w:pPr>
      <w:r>
        <w:t>Docker Compose services</w:t>
      </w:r>
    </w:p>
    <w:tbl>
      <w:tblPr>
        <w:tblStyle w:val="TableGrid"/>
        <w:tblW w:type="auto" w:w="0"/>
        <w:jc w:val="center"/>
        <w:tblLayout w:type="fixed"/>
        <w:tblLook w:firstColumn="1" w:firstRow="1" w:lastColumn="0" w:lastRow="0" w:noHBand="0" w:noVBand="1" w:val="04A0"/>
      </w:tblPr>
      <w:tblGrid>
        <w:gridCol w:w="3369"/>
        <w:gridCol w:w="3369"/>
        <w:gridCol w:w="3369"/>
      </w:tblGrid>
      <w:tr>
        <w:trPr>
          <w:tblHeader w:val="true"/>
        </w:trPr>
        <w:tc>
          <w:tcPr>
            <w:tcW w:type="dxa" w:w="1584"/>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Service</w:t>
            </w:r>
          </w:p>
        </w:tc>
        <w:tc>
          <w:tcPr>
            <w:tcW w:type="dxa" w:w="3024"/>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Image or build</w:t>
            </w:r>
          </w:p>
        </w:tc>
        <w:tc>
          <w:tcPr>
            <w:tcW w:type="dxa" w:w="5472"/>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Responsibility</w:t>
            </w:r>
          </w:p>
        </w:tc>
      </w:tr>
      <w:tr>
        <w:trPr>
          <w:cantSplit/>
        </w:trPr>
        <w:tc>
          <w:tcPr>
            <w:tcW w:type="dxa" w:w="15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postgres</w:t>
            </w:r>
          </w:p>
        </w:tc>
        <w:tc>
          <w:tcPr>
            <w:tcW w:type="dxa" w:w="30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postgres:16.8-bookworm</w:t>
            </w:r>
          </w:p>
        </w:tc>
        <w:tc>
          <w:tcPr>
            <w:tcW w:type="dxa" w:w="547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Persistent database, owner role, restricted application role, and health check.</w:t>
            </w:r>
          </w:p>
        </w:tc>
      </w:tr>
      <w:tr>
        <w:trPr>
          <w:cantSplit/>
        </w:trPr>
        <w:tc>
          <w:tcPr>
            <w:tcW w:type="dxa" w:w="15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migrate</w:t>
            </w:r>
          </w:p>
        </w:tc>
        <w:tc>
          <w:tcPr>
            <w:tcW w:type="dxa" w:w="30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Dockerfile.worker</w:t>
            </w:r>
          </w:p>
        </w:tc>
        <w:tc>
          <w:tcPr>
            <w:tcW w:type="dxa" w:w="547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One-shot migration followed by production administrator bootstrap.</w:t>
            </w:r>
          </w:p>
        </w:tc>
      </w:tr>
      <w:tr>
        <w:trPr>
          <w:cantSplit/>
        </w:trPr>
        <w:tc>
          <w:tcPr>
            <w:tcW w:type="dxa" w:w="15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web</w:t>
            </w:r>
          </w:p>
        </w:tc>
        <w:tc>
          <w:tcPr>
            <w:tcW w:type="dxa" w:w="30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Dockerfile.web</w:t>
            </w:r>
          </w:p>
        </w:tc>
        <w:tc>
          <w:tcPr>
            <w:tcW w:type="dxa" w:w="547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Next.js application with health check, report volume, and webhook spool volume.</w:t>
            </w:r>
          </w:p>
        </w:tc>
      </w:tr>
      <w:tr>
        <w:trPr>
          <w:cantSplit/>
        </w:trPr>
        <w:tc>
          <w:tcPr>
            <w:tcW w:type="dxa" w:w="15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worker</w:t>
            </w:r>
          </w:p>
        </w:tc>
        <w:tc>
          <w:tcPr>
            <w:tcW w:type="dxa" w:w="30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Dockerfile.worker</w:t>
            </w:r>
          </w:p>
        </w:tc>
        <w:tc>
          <w:tcPr>
            <w:tcW w:type="dxa" w:w="547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8"/>
              </w:rPr>
              <w:t>Dedicated pg-boss processing with report and webhook spool volumes.</w:t>
            </w:r>
          </w:p>
        </w:tc>
      </w:tr>
      <w:tr>
        <w:trPr>
          <w:cantSplit/>
        </w:trPr>
        <w:tc>
          <w:tcPr>
            <w:tcW w:type="dxa" w:w="158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caddy</w:t>
            </w:r>
          </w:p>
        </w:tc>
        <w:tc>
          <w:tcPr>
            <w:tcW w:type="dxa" w:w="302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caddy:2.10-alpine</w:t>
            </w:r>
          </w:p>
        </w:tc>
        <w:tc>
          <w:tcPr>
            <w:tcW w:type="dxa" w:w="5472"/>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8"/>
              </w:rPr>
              <w:t>Public ports 80 and 443, automatic TLS, compression, security headers, and reverse proxy.</w:t>
            </w:r>
          </w:p>
        </w:tc>
      </w:tr>
    </w:tbl>
    <w:p>
      <w:pPr>
        <w:spacing w:after="40"/>
      </w:pPr>
    </w:p>
    <w:p>
      <w:pPr>
        <w:pStyle w:val="Heading2"/>
        <w:keepNext/>
      </w:pPr>
      <w:r>
        <w:t>Production database roles</w:t>
      </w:r>
    </w:p>
    <w:p>
      <w:pPr>
        <w:spacing w:before="0" w:after="140" w:line="276" w:lineRule="auto"/>
      </w:pPr>
      <w:r>
        <w:rPr>
          <w:rFonts w:ascii="Aptos" w:hAnsi="Aptos"/>
          <w:color w:val="000000"/>
          <w:sz w:val="21"/>
        </w:rPr>
        <w:t>The migration service connects as the database owner. Web and worker connect as lead_desk_app, a non-superuser application role. This split is intentional: migrations can create policies and functions, while normal application queries remain subject to forced RLS.</w:t>
      </w:r>
    </w:p>
    <w:p>
      <w:pPr>
        <w:pStyle w:val="Heading1"/>
        <w:keepNext/>
      </w:pPr>
      <w:r>
        <w:t>12 Verification evidence</w:t>
      </w:r>
    </w:p>
    <w:p>
      <w:pPr>
        <w:spacing w:before="0" w:after="140" w:line="276" w:lineRule="auto"/>
      </w:pPr>
      <w:r>
        <w:rPr>
          <w:rFonts w:ascii="Aptos" w:hAnsi="Aptos"/>
          <w:color w:val="000000"/>
          <w:sz w:val="21"/>
        </w:rPr>
        <w:t>The following checks completed successfully during the implementation session.</w:t>
      </w:r>
    </w:p>
    <w:tbl>
      <w:tblPr>
        <w:tblStyle w:val="TableGrid"/>
        <w:tblW w:type="auto" w:w="0"/>
        <w:jc w:val="center"/>
        <w:tblLayout w:type="fixed"/>
        <w:tblLook w:firstColumn="1" w:firstRow="1" w:lastColumn="0" w:lastRow="0" w:noHBand="0" w:noVBand="1" w:val="04A0"/>
      </w:tblPr>
      <w:tblGrid>
        <w:gridCol w:w="3369"/>
        <w:gridCol w:w="3369"/>
        <w:gridCol w:w="3369"/>
      </w:tblGrid>
      <w:tr>
        <w:trPr>
          <w:tblHeader w:val="true"/>
        </w:trPr>
        <w:tc>
          <w:tcPr>
            <w:tcW w:type="dxa" w:w="2088"/>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Check</w:t>
            </w:r>
          </w:p>
        </w:tc>
        <w:tc>
          <w:tcPr>
            <w:tcW w:type="dxa" w:w="1728"/>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Result</w:t>
            </w:r>
          </w:p>
        </w:tc>
        <w:tc>
          <w:tcPr>
            <w:tcW w:type="dxa" w:w="6263"/>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Evidence</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Lint</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Passed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npm run lint</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TypeScript</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Passed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npm run typecheck</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Automated tests</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Passed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5 test files and 16 tests.</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Production build</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Passed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npm run build</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HTTP smoke test</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Passed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Authenticated smoke across 11 screens or APIs plus attempt, disposition, and note mutations.</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Fresh PostgreSQL 16 migration</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Passed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All migrations and demo seed applied to a fresh temporary instance.</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Tenant security</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Passed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34 of 34 application tables had tenant_id, forced RLS, and a policy.</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Role isolation</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Passed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Owner saw 200 seeded leads; salesperson saw 67 assigned leads; no-context app role saw 0; agency attempt write was blocked.</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Read models</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Passed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Quality returned 22 rows and campaigns returned 4 in the verification dataset.</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Repository whitespace</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Passed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git diff --check</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Scope-name scan</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Passed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Generated product output contained no out-of-scope product or client names.</w:t>
            </w:r>
          </w:p>
        </w:tc>
      </w:tr>
      <w:tr>
        <w:trPr>
          <w:cantSplit/>
        </w:trPr>
        <w:tc>
          <w:tcPr>
            <w:tcW w:type="dxa" w:w="208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Production preflight</w:t>
            </w:r>
          </w:p>
        </w:tc>
        <w:tc>
          <w:tcPr>
            <w:tcW w:type="dxa" w:w="1728"/>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Correctly blocked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Current local settings lack real production values, so launch:check intentionally fails until secrets and URLs are installed.</w:t>
            </w:r>
          </w:p>
        </w:tc>
      </w:tr>
    </w:tbl>
    <w:p>
      <w:pPr>
        <w:spacing w:after="40"/>
      </w:pPr>
    </w:p>
    <w:p>
      <w:pPr>
        <w:pStyle w:val="Heading2"/>
        <w:keepNext/>
      </w:pPr>
      <w:r>
        <w:t>Test coverage present</w:t>
      </w:r>
    </w:p>
    <w:p>
      <w:pPr>
        <w:pStyle w:val="ListBullet"/>
        <w:spacing w:after="80" w:line="264" w:lineRule="auto"/>
      </w:pPr>
      <w:r>
        <w:rPr>
          <w:rFonts w:ascii="Aptos" w:hAnsi="Aptos"/>
          <w:sz w:val="20"/>
        </w:rPr>
        <w:t>Phone normalization, name normalization, domestic business-hours SLA, and international continuous SLA.</w:t>
      </w:r>
    </w:p>
    <w:p>
      <w:pPr>
        <w:pStyle w:val="ListBullet"/>
        <w:spacing w:after="80" w:line="264" w:lineRule="auto"/>
      </w:pPr>
      <w:r>
        <w:rPr>
          <w:rFonts w:ascii="Aptos" w:hAnsi="Aptos"/>
          <w:sz w:val="20"/>
        </w:rPr>
        <w:t>Full closure gate behavior across attempts, days, WhatsApp, and notes.</w:t>
      </w:r>
    </w:p>
    <w:p>
      <w:pPr>
        <w:pStyle w:val="ListBullet"/>
        <w:spacing w:after="80" w:line="264" w:lineRule="auto"/>
      </w:pPr>
      <w:r>
        <w:rPr>
          <w:rFonts w:ascii="Aptos" w:hAnsi="Aptos"/>
          <w:sz w:val="20"/>
        </w:rPr>
        <w:t>Google Sheet URL parsing, configurable headers, stable IDs after row movement, and Indian day-first timestamps.</w:t>
      </w:r>
    </w:p>
    <w:p>
      <w:pPr>
        <w:pStyle w:val="ListBullet"/>
        <w:spacing w:after="80" w:line="264" w:lineRule="auto"/>
      </w:pPr>
      <w:r>
        <w:rPr>
          <w:rFonts w:ascii="Aptos" w:hAnsi="Aptos"/>
          <w:sz w:val="20"/>
        </w:rPr>
        <w:t>Notification fallback from WhatsApp to push.</w:t>
      </w:r>
    </w:p>
    <w:p>
      <w:pPr>
        <w:pStyle w:val="ListBullet"/>
        <w:spacing w:after="80" w:line="264" w:lineRule="auto"/>
      </w:pPr>
      <w:r>
        <w:rPr>
          <w:rFonts w:ascii="Aptos" w:hAnsi="Aptos"/>
          <w:sz w:val="20"/>
        </w:rPr>
        <w:t>Primary screens use database read models rather than demo arrays.</w:t>
      </w:r>
    </w:p>
    <w:p>
      <w:pPr>
        <w:pStyle w:val="ListBullet"/>
        <w:spacing w:after="80" w:line="264" w:lineRule="auto"/>
      </w:pPr>
      <w:r>
        <w:rPr>
          <w:rFonts w:ascii="Aptos" w:hAnsi="Aptos"/>
          <w:sz w:val="20"/>
        </w:rPr>
        <w:t>Signed-in session data maps correctly to RLS user and role variables.</w:t>
      </w:r>
    </w:p>
    <w:p>
      <w:pPr>
        <w:pStyle w:val="ListBullet"/>
        <w:spacing w:after="80" w:line="264" w:lineRule="auto"/>
      </w:pPr>
      <w:r>
        <w:rPr>
          <w:rFonts w:ascii="Aptos" w:hAnsi="Aptos"/>
          <w:sz w:val="20"/>
        </w:rPr>
        <w:t>Authenticated pages and APIs are excluded from service-worker caching.</w:t>
      </w:r>
    </w:p>
    <w:p>
      <w:pPr>
        <w:pStyle w:val="ListBullet"/>
        <w:spacing w:after="80" w:line="264" w:lineRule="auto"/>
      </w:pPr>
      <w:r>
        <w:rPr>
          <w:rFonts w:ascii="Aptos" w:hAnsi="Aptos"/>
          <w:sz w:val="20"/>
        </w:rPr>
        <w:t>Schema source and migrations enforce tenant_id and forced RLS.</w:t>
      </w:r>
    </w:p>
    <w:p>
      <w:pPr>
        <w:pStyle w:val="Heading1"/>
        <w:keepNext/>
      </w:pPr>
      <w:r>
        <w:t>13 Pending work and known limitations</w:t>
      </w:r>
    </w:p>
    <w:p>
      <w:pPr>
        <w:pStyle w:val="Heading2"/>
        <w:keepNext/>
      </w:pPr>
      <w:r>
        <w:t>Production blockers</w:t>
      </w:r>
    </w:p>
    <w:tbl>
      <w:tblPr>
        <w:tblStyle w:val="TableGrid"/>
        <w:tblW w:type="auto" w:w="0"/>
        <w:jc w:val="center"/>
        <w:tblLayout w:type="fixed"/>
        <w:tblLook w:firstColumn="1" w:firstRow="1" w:lastColumn="0" w:lastRow="0" w:noHBand="0" w:noVBand="1" w:val="04A0"/>
      </w:tblPr>
      <w:tblGrid>
        <w:gridCol w:w="3369"/>
        <w:gridCol w:w="3369"/>
        <w:gridCol w:w="3369"/>
      </w:tblGrid>
      <w:tr>
        <w:trPr>
          <w:tblHeader w:val="true"/>
        </w:trPr>
        <w:tc>
          <w:tcPr>
            <w:tcW w:type="dxa" w:w="2015"/>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Item</w:t>
            </w:r>
          </w:p>
        </w:tc>
        <w:tc>
          <w:tcPr>
            <w:tcW w:type="dxa" w:w="3960"/>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Why it is pending</w:t>
            </w:r>
          </w:p>
        </w:tc>
        <w:tc>
          <w:tcPr>
            <w:tcW w:type="dxa" w:w="4104"/>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Required outcome</w:t>
            </w:r>
          </w:p>
        </w:tc>
      </w:tr>
      <w:tr>
        <w:trPr>
          <w:cantSplit/>
        </w:trPr>
        <w:tc>
          <w:tcPr>
            <w:tcW w:type="dxa" w:w="20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Docker runtime verification</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The full Compose stack was not started because the local Docker daemon was unavailable.</w:t>
            </w:r>
          </w:p>
        </w:tc>
        <w:tc>
          <w:tcPr>
            <w:tcW w:type="dxa" w:w="41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Start the stack on a Docker host and verify all five services are healthy.</w:t>
            </w:r>
          </w:p>
        </w:tc>
      </w:tr>
      <w:tr>
        <w:trPr>
          <w:cantSplit/>
        </w:trPr>
        <w:tc>
          <w:tcPr>
            <w:tcW w:type="dxa" w:w="20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VPS and domain</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No production host, DNS, or certificate was supplied.</w:t>
            </w:r>
          </w:p>
        </w:tc>
        <w:tc>
          <w:tcPr>
            <w:tcW w:type="dxa" w:w="41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Deploy to the Mumbai VPS after domain approval and confirm HTTPS health.</w:t>
            </w:r>
          </w:p>
        </w:tc>
      </w:tr>
      <w:tr>
        <w:trPr>
          <w:cantSplit/>
        </w:trPr>
        <w:tc>
          <w:tcPr>
            <w:tcW w:type="dxa" w:w="20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Authentication delivery</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No real SMTP or SMS credentials were supplied.</w:t>
            </w:r>
          </w:p>
        </w:tc>
        <w:tc>
          <w:tcPr>
            <w:tcW w:type="dxa" w:w="41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Test OTP or magic-link delivery for every production user.</w:t>
            </w:r>
          </w:p>
        </w:tc>
      </w:tr>
      <w:tr>
        <w:trPr>
          <w:cantSplit/>
        </w:trPr>
        <w:tc>
          <w:tcPr>
            <w:tcW w:type="dxa" w:w="20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Google Sheets credentials</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No service-account key or live Sheet was supplied.</w:t>
            </w:r>
          </w:p>
        </w:tc>
        <w:tc>
          <w:tcPr>
            <w:tcW w:type="dxa" w:w="41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Install credentials, share the Sheet as Viewer, test mapping, and prove idempotent sync.</w:t>
            </w:r>
          </w:p>
        </w:tc>
      </w:tr>
      <w:tr>
        <w:trPr>
          <w:cantSplit/>
        </w:trPr>
        <w:tc>
          <w:tcPr>
            <w:tcW w:type="dxa" w:w="20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WhatsApp</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No live AiSensy credentials or approved templates were supplied.</w:t>
            </w:r>
          </w:p>
        </w:tc>
        <w:tc>
          <w:tcPr>
            <w:tcW w:type="dxa" w:w="41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Configure or explicitly accept that automated WhatsApp remains disabled.</w:t>
            </w:r>
          </w:p>
        </w:tc>
      </w:tr>
      <w:tr>
        <w:trPr>
          <w:cantSplit/>
        </w:trPr>
        <w:tc>
          <w:tcPr>
            <w:tcW w:type="dxa" w:w="20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PDF runtime</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Chromium report generation was not executed inside the actual worker container.</w:t>
            </w:r>
          </w:p>
        </w:tc>
        <w:tc>
          <w:tcPr>
            <w:tcW w:type="dxa" w:w="41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Generate and download a real scheduled weekly report in the deployed stack.</w:t>
            </w:r>
          </w:p>
        </w:tc>
      </w:tr>
      <w:tr>
        <w:trPr>
          <w:cantSplit/>
        </w:trPr>
        <w:tc>
          <w:tcPr>
            <w:tcW w:type="dxa" w:w="20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Backups</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No off-server backup service is configured.</w:t>
            </w:r>
          </w:p>
        </w:tc>
        <w:tc>
          <w:tcPr>
            <w:tcW w:type="dxa" w:w="41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Automate encrypted PostgreSQL backups and test restore.</w:t>
            </w:r>
          </w:p>
        </w:tc>
      </w:tr>
      <w:tr>
        <w:trPr>
          <w:cantSplit/>
        </w:trPr>
        <w:tc>
          <w:tcPr>
            <w:tcW w:type="dxa" w:w="20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Monitoring</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No external uptime, log, or alerting service is configured.</w:t>
            </w:r>
          </w:p>
        </w:tc>
        <w:tc>
          <w:tcPr>
            <w:tcW w:type="dxa" w:w="41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7"/>
              </w:rPr>
              <w:t>Add health monitoring and urgent alerts for web, worker, database, and ingestion failures.</w:t>
            </w:r>
          </w:p>
        </w:tc>
      </w:tr>
      <w:tr>
        <w:trPr>
          <w:cantSplit/>
        </w:trPr>
        <w:tc>
          <w:tcPr>
            <w:tcW w:type="dxa" w:w="2015"/>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Acceptance testing</w:t>
            </w:r>
          </w:p>
        </w:tc>
        <w:tc>
          <w:tcPr>
            <w:tcW w:type="dxa" w:w="3960"/>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Final role-by-role visual testing was not repeated after every last code change.</w:t>
            </w:r>
          </w:p>
        </w:tc>
        <w:tc>
          <w:tcPr>
            <w:tcW w:type="dxa" w:w="4104"/>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7"/>
              </w:rPr>
              <w:t>Run staff, manager, owner, agency, and admin acceptance on desktop and mobile.</w:t>
            </w:r>
          </w:p>
        </w:tc>
      </w:tr>
    </w:tbl>
    <w:p>
      <w:pPr>
        <w:spacing w:after="40"/>
      </w:pPr>
    </w:p>
    <w:p>
      <w:pPr>
        <w:pStyle w:val="Heading2"/>
        <w:keepNext/>
      </w:pPr>
      <w:r>
        <w:t>High-priority code gaps</w:t>
      </w:r>
    </w:p>
    <w:p>
      <w:pPr>
        <w:pStyle w:val="ListBullet"/>
        <w:spacing w:after="80" w:line="264" w:lineRule="auto"/>
      </w:pPr>
      <w:r>
        <w:rPr>
          <w:rFonts w:ascii="Aptos" w:hAnsi="Aptos"/>
          <w:sz w:val="20"/>
        </w:rPr>
        <w:t>Build a true seven-day read model for /reports/weekly. The current browser print view uses current-day data; the scheduled PDF generator uses the correct period.</w:t>
      </w:r>
    </w:p>
    <w:p>
      <w:pPr>
        <w:pStyle w:val="ListBullet"/>
        <w:spacing w:after="80" w:line="264" w:lineRule="auto"/>
      </w:pPr>
      <w:r>
        <w:rPr>
          <w:rFonts w:ascii="Aptos" w:hAnsi="Aptos"/>
          <w:sz w:val="20"/>
        </w:rPr>
        <w:t>Add report history download links and actions.</w:t>
      </w:r>
    </w:p>
    <w:p>
      <w:pPr>
        <w:pStyle w:val="ListBullet"/>
        <w:spacing w:after="80" w:line="264" w:lineRule="auto"/>
      </w:pPr>
      <w:r>
        <w:rPr>
          <w:rFonts w:ascii="Aptos" w:hAnsi="Aptos"/>
          <w:sz w:val="20"/>
        </w:rPr>
        <w:t>Show closure-gate counts live while the user fills the form.</w:t>
      </w:r>
    </w:p>
    <w:p>
      <w:pPr>
        <w:pStyle w:val="ListBullet"/>
        <w:spacing w:after="80" w:line="264" w:lineRule="auto"/>
      </w:pPr>
      <w:r>
        <w:rPr>
          <w:rFonts w:ascii="Aptos" w:hAnsi="Aptos"/>
          <w:sz w:val="20"/>
        </w:rPr>
        <w:t>Normalize spam handling so close_reason=spam cannot bypass the authoritative full gate through a quality-flag mismatch.</w:t>
      </w:r>
    </w:p>
    <w:p>
      <w:pPr>
        <w:pStyle w:val="ListBullet"/>
        <w:spacing w:after="80" w:line="264" w:lineRule="auto"/>
      </w:pPr>
      <w:r>
        <w:rPr>
          <w:rFonts w:ascii="Aptos" w:hAnsi="Aptos"/>
          <w:sz w:val="20"/>
        </w:rPr>
        <w:t>Add an Admin interface for creating new immutable SLA policy versions.</w:t>
      </w:r>
    </w:p>
    <w:p>
      <w:pPr>
        <w:pStyle w:val="ListBullet"/>
        <w:spacing w:after="80" w:line="264" w:lineRule="auto"/>
      </w:pPr>
      <w:r>
        <w:rPr>
          <w:rFonts w:ascii="Aptos" w:hAnsi="Aptos"/>
          <w:sz w:val="20"/>
        </w:rPr>
        <w:t>Add an Admin interface for selecting the international lead handler.</w:t>
      </w:r>
    </w:p>
    <w:p>
      <w:pPr>
        <w:pStyle w:val="ListBullet"/>
        <w:spacing w:after="80" w:line="264" w:lineRule="auto"/>
      </w:pPr>
      <w:r>
        <w:rPr>
          <w:rFonts w:ascii="Aptos" w:hAnsi="Aptos"/>
          <w:sz w:val="20"/>
        </w:rPr>
        <w:t>Implement browser push-subscription registration.</w:t>
      </w:r>
    </w:p>
    <w:p>
      <w:pPr>
        <w:pStyle w:val="ListBullet"/>
        <w:spacing w:after="80" w:line="264" w:lineRule="auto"/>
      </w:pPr>
      <w:r>
        <w:rPr>
          <w:rFonts w:ascii="Aptos" w:hAnsi="Aptos"/>
          <w:sz w:val="20"/>
        </w:rPr>
        <w:t>Complete webhook-spool replay rather than only logging webhook.recover work.</w:t>
      </w:r>
    </w:p>
    <w:p>
      <w:pPr>
        <w:pStyle w:val="ListBullet"/>
        <w:spacing w:after="80" w:line="264" w:lineRule="auto"/>
      </w:pPr>
      <w:r>
        <w:rPr>
          <w:rFonts w:ascii="Aptos" w:hAnsi="Aptos"/>
          <w:sz w:val="20"/>
        </w:rPr>
        <w:t>Tie the application jobs and job_events lifecycle more tightly to pg-boss job execution.</w:t>
      </w:r>
    </w:p>
    <w:p>
      <w:pPr>
        <w:pStyle w:val="ListBullet"/>
        <w:spacing w:after="80" w:line="264" w:lineRule="auto"/>
      </w:pPr>
      <w:r>
        <w:rPr>
          <w:rFonts w:ascii="Aptos" w:hAnsi="Aptos"/>
          <w:sz w:val="20"/>
        </w:rPr>
        <w:t>Schedule worker jobs for every active tenant instead of only DEFAULT_TENANT_ID.</w:t>
      </w:r>
    </w:p>
    <w:p>
      <w:pPr>
        <w:pStyle w:val="ListBullet"/>
        <w:spacing w:after="80" w:line="264" w:lineRule="auto"/>
      </w:pPr>
      <w:r>
        <w:rPr>
          <w:rFonts w:ascii="Aptos" w:hAnsi="Aptos"/>
          <w:sz w:val="20"/>
        </w:rPr>
        <w:t>Resolve tenant context from the approved subdomain or path instead of relying only on DEFAULT_TENANT_ID.</w:t>
      </w:r>
    </w:p>
    <w:p>
      <w:pPr>
        <w:pStyle w:val="Heading2"/>
        <w:keepNext/>
      </w:pPr>
      <w:r>
        <w:t>Meta-specific work</w:t>
      </w:r>
    </w:p>
    <w:p>
      <w:pPr>
        <w:pStyle w:val="ListBullet"/>
        <w:spacing w:after="80" w:line="264" w:lineRule="auto"/>
      </w:pPr>
      <w:r>
        <w:rPr>
          <w:rFonts w:ascii="Aptos" w:hAnsi="Aptos"/>
          <w:sz w:val="20"/>
        </w:rPr>
        <w:t>Implement the verification GET and signed POST webhook endpoint.</w:t>
      </w:r>
    </w:p>
    <w:p>
      <w:pPr>
        <w:pStyle w:val="ListBullet"/>
        <w:spacing w:after="80" w:line="264" w:lineRule="auto"/>
      </w:pPr>
      <w:r>
        <w:rPr>
          <w:rFonts w:ascii="Aptos" w:hAnsi="Aptos"/>
          <w:sz w:val="20"/>
        </w:rPr>
        <w:t>Validate X-Hub-Signature-256, return 403 for invalid signatures, and never queue them.</w:t>
      </w:r>
    </w:p>
    <w:p>
      <w:pPr>
        <w:pStyle w:val="ListBullet"/>
        <w:spacing w:after="80" w:line="264" w:lineRule="auto"/>
      </w:pPr>
      <w:r>
        <w:rPr>
          <w:rFonts w:ascii="Aptos" w:hAnsi="Aptos"/>
          <w:sz w:val="20"/>
        </w:rPr>
        <w:t>For valid signatures, persist the raw body first, queue second, and return 200 within two seconds, including malformed or unknown payloads.</w:t>
      </w:r>
    </w:p>
    <w:p>
      <w:pPr>
        <w:pStyle w:val="ListBullet"/>
        <w:spacing w:after="80" w:line="264" w:lineRule="auto"/>
      </w:pPr>
      <w:r>
        <w:rPr>
          <w:rFonts w:ascii="Aptos" w:hAnsi="Aptos"/>
          <w:sz w:val="20"/>
        </w:rPr>
        <w:t>Provide a safe disk-spool fallback and immediate admin alert when the database is unavailable; return 500 only when neither database nor spool can preserve the payload.</w:t>
      </w:r>
    </w:p>
    <w:p>
      <w:pPr>
        <w:pStyle w:val="ListBullet"/>
        <w:spacing w:after="80" w:line="264" w:lineRule="auto"/>
      </w:pPr>
      <w:r>
        <w:rPr>
          <w:rFonts w:ascii="Aptos" w:hAnsi="Aptos"/>
          <w:sz w:val="20"/>
        </w:rPr>
        <w:t>Implement event decode, Graph API hydration, token encryption and refresh, Page and form discovery, form-field mapping, receipt/reply updates, reconciliation, and replay.</w:t>
      </w:r>
    </w:p>
    <w:p>
      <w:pPr>
        <w:pStyle w:val="ListBullet"/>
        <w:spacing w:after="80" w:line="264" w:lineRule="auto"/>
      </w:pPr>
      <w:r>
        <w:rPr>
          <w:rFonts w:ascii="Aptos" w:hAnsi="Aptos"/>
          <w:sz w:val="20"/>
        </w:rPr>
        <w:t>Complete Business Manager permissions and production app review at implementation time because Meta requirements can change.</w:t>
      </w:r>
    </w:p>
    <w:p>
      <w:pPr>
        <w:pStyle w:val="Heading1"/>
        <w:keepNext/>
      </w:pPr>
      <w:r>
        <w:t>14 Go live sequence</w:t>
      </w:r>
    </w:p>
    <w:p>
      <w:pPr>
        <w:spacing w:after="80" w:line="264" w:lineRule="auto"/>
        <w:ind w:left="403" w:hanging="403"/>
      </w:pPr>
      <w:r>
        <w:rPr>
          <w:rFonts w:ascii="Aptos" w:hAnsi="Aptos"/>
          <w:sz w:val="20"/>
        </w:rPr>
        <w:t>1.  Review and commit the working tree as a clean handoff checkpoint.</w:t>
      </w:r>
    </w:p>
    <w:p>
      <w:pPr>
        <w:spacing w:after="80" w:line="264" w:lineRule="auto"/>
        <w:ind w:left="403" w:hanging="403"/>
      </w:pPr>
      <w:r>
        <w:rPr>
          <w:rFonts w:ascii="Aptos" w:hAnsi="Aptos"/>
          <w:sz w:val="20"/>
        </w:rPr>
        <w:t>2.  Provision the Mumbai VPS, install Docker, create a restricted deployment user, and configure firewall rules for SSH, HTTP, and HTTPS.</w:t>
      </w:r>
    </w:p>
    <w:p>
      <w:pPr>
        <w:spacing w:after="80" w:line="264" w:lineRule="auto"/>
        <w:ind w:left="403" w:hanging="403"/>
      </w:pPr>
      <w:r>
        <w:rPr>
          <w:rFonts w:ascii="Aptos" w:hAnsi="Aptos"/>
          <w:sz w:val="20"/>
        </w:rPr>
        <w:t>3.  Approve the public domain, point DNS to the VPS, and set APP_DOMAIN and the HTTPS APP_URL.</w:t>
      </w:r>
    </w:p>
    <w:p>
      <w:pPr>
        <w:spacing w:after="80" w:line="264" w:lineRule="auto"/>
        <w:ind w:left="403" w:hanging="403"/>
      </w:pPr>
      <w:r>
        <w:rPr>
          <w:rFonts w:ascii="Aptos" w:hAnsi="Aptos"/>
          <w:sz w:val="20"/>
        </w:rPr>
        <w:t>4.  Create production .env values with unique database passwords, a strong session secret, field encryption key, bootstrap administrator, and a persistent reports path.</w:t>
      </w:r>
    </w:p>
    <w:p>
      <w:pPr>
        <w:spacing w:after="80" w:line="264" w:lineRule="auto"/>
        <w:ind w:left="403" w:hanging="403"/>
      </w:pPr>
      <w:r>
        <w:rPr>
          <w:rFonts w:ascii="Aptos" w:hAnsi="Aptos"/>
          <w:sz w:val="20"/>
        </w:rPr>
        <w:t>5.  Configure and test SMTP or SMS authentication delivery.</w:t>
      </w:r>
    </w:p>
    <w:p>
      <w:pPr>
        <w:spacing w:after="80" w:line="264" w:lineRule="auto"/>
        <w:ind w:left="403" w:hanging="403"/>
      </w:pPr>
      <w:r>
        <w:rPr>
          <w:rFonts w:ascii="Aptos" w:hAnsi="Aptos"/>
          <w:sz w:val="20"/>
        </w:rPr>
        <w:t>6.  Configure the Google service account, share the Sheet as Viewer, save mapping in Admin, test, and prove that a second sync is unchanged rather than duplicated.</w:t>
      </w:r>
    </w:p>
    <w:p>
      <w:pPr>
        <w:spacing w:after="80" w:line="264" w:lineRule="auto"/>
        <w:ind w:left="403" w:hanging="403"/>
      </w:pPr>
      <w:r>
        <w:rPr>
          <w:rFonts w:ascii="Aptos" w:hAnsi="Aptos"/>
          <w:sz w:val="20"/>
        </w:rPr>
        <w:t>7.  Configure AiSensy or formally keep automated WhatsApp disabled for the first release.</w:t>
      </w:r>
    </w:p>
    <w:p>
      <w:pPr>
        <w:spacing w:after="80" w:line="264" w:lineRule="auto"/>
        <w:ind w:left="403" w:hanging="403"/>
      </w:pPr>
      <w:r>
        <w:rPr>
          <w:rFonts w:ascii="Aptos" w:hAnsi="Aptos"/>
          <w:sz w:val="20"/>
        </w:rPr>
        <w:t>8.  Run NODE_ENV=production npm run launch:check -- --production.</w:t>
      </w:r>
    </w:p>
    <w:p>
      <w:pPr>
        <w:spacing w:after="80" w:line="264" w:lineRule="auto"/>
        <w:ind w:left="403" w:hanging="403"/>
      </w:pPr>
      <w:r>
        <w:rPr>
          <w:rFonts w:ascii="Aptos" w:hAnsi="Aptos"/>
          <w:sz w:val="20"/>
        </w:rPr>
        <w:t>9.  Run docker compose up -d --build, execute db:verify through the migration container, and check the public /api/health endpoint.</w:t>
      </w:r>
    </w:p>
    <w:p>
      <w:pPr>
        <w:spacing w:after="80" w:line="264" w:lineRule="auto"/>
        <w:ind w:left="403" w:hanging="403"/>
      </w:pPr>
      <w:r>
        <w:rPr>
          <w:rFonts w:ascii="Aptos" w:hAnsi="Aptos"/>
          <w:sz w:val="20"/>
        </w:rPr>
        <w:t>10.  Complete desktop and mobile acceptance for every role and core workflow.</w:t>
      </w:r>
    </w:p>
    <w:p>
      <w:pPr>
        <w:spacing w:after="80" w:line="264" w:lineRule="auto"/>
        <w:ind w:left="403" w:hanging="403"/>
      </w:pPr>
      <w:r>
        <w:rPr>
          <w:rFonts w:ascii="Aptos" w:hAnsi="Aptos"/>
          <w:sz w:val="20"/>
        </w:rPr>
        <w:t>11.  Generate one real daily snapshot, digest, and weekly PDF; verify files survive container restart.</w:t>
      </w:r>
    </w:p>
    <w:p>
      <w:pPr>
        <w:spacing w:after="80" w:line="264" w:lineRule="auto"/>
        <w:ind w:left="403" w:hanging="403"/>
      </w:pPr>
      <w:r>
        <w:rPr>
          <w:rFonts w:ascii="Aptos" w:hAnsi="Aptos"/>
          <w:sz w:val="20"/>
        </w:rPr>
        <w:t>12.  Add off-server backups and monitoring before inviting production staff.</w:t>
      </w:r>
    </w:p>
    <w:p>
      <w:pPr>
        <w:spacing w:after="80" w:line="264" w:lineRule="auto"/>
        <w:ind w:left="403" w:hanging="403"/>
      </w:pPr>
      <w:r>
        <w:rPr>
          <w:rFonts w:ascii="Aptos" w:hAnsi="Aptos"/>
          <w:sz w:val="20"/>
        </w:rPr>
        <w:t>13.  Connect and verify Meta only after the rest of the stack is stable.</w:t>
      </w:r>
    </w:p>
    <w:p>
      <w:r>
        <w:br w:type="page"/>
      </w:r>
    </w:p>
    <w:p>
      <w:pPr>
        <w:pStyle w:val="Heading1"/>
        <w:keepNext/>
      </w:pPr>
      <w:r>
        <w:t>Appendix A Environment variables</w:t>
      </w:r>
    </w:p>
    <w:tbl>
      <w:tblPr>
        <w:tblStyle w:val="TableGrid"/>
        <w:tblW w:type="auto" w:w="0"/>
        <w:jc w:val="center"/>
        <w:tblLayout w:type="fixed"/>
        <w:tblLook w:firstColumn="1" w:firstRow="1" w:lastColumn="0" w:lastRow="0" w:noHBand="0" w:noVBand="1" w:val="04A0"/>
      </w:tblPr>
      <w:tblGrid>
        <w:gridCol w:w="5054"/>
        <w:gridCol w:w="5054"/>
      </w:tblGrid>
      <w:tr>
        <w:trPr>
          <w:tblHeader w:val="true"/>
        </w:trPr>
        <w:tc>
          <w:tcPr>
            <w:tcW w:type="dxa" w:w="3816"/>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Variable</w:t>
            </w:r>
          </w:p>
        </w:tc>
        <w:tc>
          <w:tcPr>
            <w:tcW w:type="dxa" w:w="6263"/>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Purpose</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NODE_ENV</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Runtime mode; production is required for launch.</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TZ</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Application timezone; configured as Asia/Kolkata.</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APP_URL</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Canonical application URL; must be HTTPS in production.</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APP_DOMAIN</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Caddy host name.</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DATABASE_URL</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Database connection string; role differs for migration and runtime.</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DEFAULT_TENANT_ID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Current tenant selection and worker scheduling fallback.</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POSTGRES_OWNER_PASSWORD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Database owner password.</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POSTGRES_APP_PASSWORD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Restricted application-role password.</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SESSION_SECRET</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At least 32 random characters.</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FIELD_ENCRYPTION_KEY</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32-byte base64 encryption key for sensitive fields.</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DEMO_MODE</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Must be false in production.</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BOOTSTRAP_ADMIN_EMAIL</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First production administrator email.</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BOOTSTRAP_ADMIN_NAME</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First administrator display name.</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OTP_DELIVERY_MODE</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Development console or configured delivery mode.</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EMAIL_FROM</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Sender identity for email and VAPID contact.</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SMTP_URL</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SMTP connection string.</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SMS_WEBHOOK_URL</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External SMS delivery endpoint.</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SMS_WEBHOOK_TOKEN</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Bearer or provider token for SMS delivery.</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REPORTS_DIR</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Persistent generated-report directory.</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CHROMIUM_PATH</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Chromium executable used for PDF generation.</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WEB_PUSH_PUBLIC_KEY</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VAPID public key.</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WEB_PUSH_PRIVATE_KEY</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VAPID private key.</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WHATSAPP_PROVIDER</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disabled, aisensy, or deferred meta_cloud.</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AISENSY_API_KEY</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AiSensy credential.</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AISENSY_API_URL</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AiSensy campaign API endpoint.</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META_APP_ID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Reserved for final Meta connection.</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META_APP_SECRET</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Reserved for signature validation and Graph API.</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META_VERIFY_TOKEN</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Reserved for webhook verification.</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META_GRAPH_VERSION</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Configured Graph API version.</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META_AD_ACCOUNT_ID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Reserved Meta ad-account identifier.</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META_CONNECTION_ENABLED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Must remain false until Meta is implemented and approved.</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GOOGLE_SHEETS_ENABLED</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Enables the scheduled read-only connector.</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GOOGLE_SERVICE_ACCOUNT_EMAIL</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Service-account identity shared to the Sheet.</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GOOGLE_SERVICE_ACCOUNT_PRIVATE_KEY</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Private key; keep only in server environment.</w:t>
            </w:r>
          </w:p>
        </w:tc>
      </w:tr>
      <w:tr>
        <w:trPr>
          <w:cantSplit/>
        </w:trPr>
        <w:tc>
          <w:tcPr>
            <w:tcW w:type="dxa" w:w="381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GOOGLE_SHEETS_POLL_MINUTES</w:t>
            </w:r>
          </w:p>
        </w:tc>
        <w:tc>
          <w:tcPr>
            <w:tcW w:type="dxa" w:w="626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Polling interval; default 1.</w:t>
            </w:r>
          </w:p>
        </w:tc>
      </w:tr>
    </w:tbl>
    <w:p>
      <w:pPr>
        <w:spacing w:after="40"/>
      </w:pPr>
    </w:p>
    <w:p>
      <w:pPr>
        <w:pStyle w:val="Heading1"/>
        <w:keepNext/>
      </w:pPr>
      <w:r>
        <w:t>Appendix B Database objects</w:t>
      </w:r>
    </w:p>
    <w:tbl>
      <w:tblPr>
        <w:tblStyle w:val="TableGrid"/>
        <w:tblW w:type="auto" w:w="0"/>
        <w:jc w:val="center"/>
        <w:tblLayout w:type="fixed"/>
        <w:tblLook w:firstColumn="1" w:firstRow="1" w:lastColumn="0" w:lastRow="0" w:noHBand="0" w:noVBand="1" w:val="04A0"/>
      </w:tblPr>
      <w:tblGrid>
        <w:gridCol w:w="5054"/>
        <w:gridCol w:w="5054"/>
      </w:tblGrid>
      <w:tr>
        <w:trPr>
          <w:tblHeader w:val="true"/>
        </w:trPr>
        <w:tc>
          <w:tcPr>
            <w:tcW w:type="dxa" w:w="3456"/>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Table</w:t>
            </w:r>
          </w:p>
        </w:tc>
        <w:tc>
          <w:tcPr>
            <w:tcW w:type="dxa" w:w="6623"/>
            <w:shd w:fill="56327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20" w:type="dxa"/>
              <w:start w:w="135" w:type="dxa"/>
              <w:bottom w:w="120" w:type="dxa"/>
              <w:end w:w="135" w:type="dxa"/>
            </w:tcMar>
            <w:vAlign w:val="center"/>
          </w:tcPr>
          <w:p>
            <w:pPr>
              <w:spacing w:after="0"/>
              <w:jc w:val="left"/>
            </w:pPr>
            <w:r/>
            <w:r>
              <w:rPr>
                <w:rFonts w:ascii="Aptos" w:hAnsi="Aptos"/>
                <w:b/>
                <w:color w:val="FFFFFF"/>
                <w:sz w:val="18"/>
              </w:rPr>
              <w:t>Purpose</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assignment_rules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Tenant routing and ownership rules.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attempt_events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Append-only attempt outcomes and receipts.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attempts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Insert-only contact actions.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audit_log</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Tenant audit records.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auth_challenges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OTP and magic-link challenges.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business_hours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Store weekly operating hours.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daily_metrics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Immutable daily reporting snapshots.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form_field_map</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Source field to canonical-field mapping.</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google_sheet_connections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Tenant Sheet URL, tab, mapping, and state.</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google_sheet_sync_runs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Sheet synchronization history and counts.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import_rows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Per-row import status and errors.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imports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Import batches and lifecycle.</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job_events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Append-only application job history.</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jobs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Application-level job tracking.</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lead_events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Append-only lead timeline events.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lead_sla_cycles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Lead SLA lifecycle and escalation state.</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leads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Canonical lead record and pinned SLA policy version.</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meta_ad_cache</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Reserved Meta ad and attribution cache.</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meta_connections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Reserved tenant Meta connection.</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notes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Lead notes with optional offline client time.</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notifications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Delivery queue and provider state.</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reports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Generated report records and storage paths.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sessions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Revocable server sessions.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sla_policies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Immutable versioned SLA policies.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source_connections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General source connection registry.</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source_forms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External source form registry.</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store_holidays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Closures and exception hours.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stores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Tenant store definitions.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targets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Staff or store targets.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tenants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Tenant identity and client-facing settings.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user_store_memberships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User-to-store access mapping.</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users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Tenant user identity, role, and status.</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webhook_events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tcPr>
          <w:p>
            <w:pPr>
              <w:spacing w:after="0" w:line="252" w:lineRule="auto"/>
            </w:pPr>
            <w:r/>
            <w:r>
              <w:rPr>
                <w:rFonts w:ascii="Aptos" w:hAnsi="Aptos"/>
                <w:color w:val="000000"/>
                <w:sz w:val="16"/>
              </w:rPr>
              <w:t>Raw webhook intake evidence.</w:t>
            </w:r>
          </w:p>
        </w:tc>
      </w:tr>
      <w:tr>
        <w:trPr>
          <w:cantSplit/>
        </w:trPr>
        <w:tc>
          <w:tcPr>
            <w:tcW w:type="dxa" w:w="3456"/>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webhook_processing_events</w:t>
            </w:r>
          </w:p>
        </w:tc>
        <w:tc>
          <w:tcPr>
            <w:tcW w:type="dxa" w:w="6623"/>
            <w:tcBorders>
              <w:top w:val="single" w:sz="6" w:space="0" w:color="D9D9D9"/>
              <w:left w:val="single" w:sz="6" w:space="0" w:color="D9D9D9"/>
              <w:bottom w:val="single" w:sz="6" w:space="0" w:color="D9D9D9"/>
              <w:right w:val="single" w:sz="6" w:space="0" w:color="D9D9D9"/>
              <w:insideH w:val="single" w:sz="6" w:space="0" w:color="D9D9D9"/>
              <w:insideV w:val="single" w:sz="6" w:space="0" w:color="D9D9D9"/>
            </w:tcBorders>
            <w:tcMar>
              <w:top w:w="110" w:type="dxa"/>
              <w:start w:w="130" w:type="dxa"/>
              <w:bottom w:w="110" w:type="dxa"/>
              <w:end w:w="130" w:type="dxa"/>
            </w:tcMar>
            <w:vAlign w:val="center"/>
            <w:shd w:fill="F6F1F8"/>
          </w:tcPr>
          <w:p>
            <w:pPr>
              <w:spacing w:after="0" w:line="252" w:lineRule="auto"/>
            </w:pPr>
            <w:r/>
            <w:r>
              <w:rPr>
                <w:rFonts w:ascii="Aptos" w:hAnsi="Aptos"/>
                <w:color w:val="000000"/>
                <w:sz w:val="16"/>
              </w:rPr>
              <w:t>Webhook decode and processing history.</w:t>
            </w:r>
          </w:p>
        </w:tc>
      </w:tr>
    </w:tbl>
    <w:p>
      <w:pPr>
        <w:spacing w:after="40"/>
      </w:pPr>
    </w:p>
    <w:p>
      <w:pPr>
        <w:spacing w:before="0" w:after="140" w:line="276" w:lineRule="auto"/>
      </w:pPr>
      <w:r>
        <w:rPr>
          <w:rFonts w:ascii="Aptos" w:hAnsi="Aptos"/>
          <w:color w:val="000000"/>
          <w:sz w:val="21"/>
        </w:rPr>
        <w:t>Database view: attempts_current derives the latest disposition, receipt state, and verified state from immutable attempt evidence.</w:t>
      </w:r>
    </w:p>
    <w:p>
      <w:pPr>
        <w:pStyle w:val="Heading1"/>
        <w:keepNext/>
      </w:pPr>
      <w:r>
        <w:t>Appendix C Source adapter contract</w:t>
      </w:r>
    </w:p>
    <w:p>
      <w:pPr>
        <w:spacing w:before="0" w:after="140" w:line="276" w:lineRule="auto"/>
      </w:pPr>
      <w:r>
        <w:rPr>
          <w:rFonts w:ascii="Aptos" w:hAnsi="Aptos"/>
          <w:color w:val="000000"/>
          <w:sz w:val="21"/>
        </w:rPr>
        <w:t>Every source adapter decodes a safely persisted ingress record into source references, hydrates each reference into a canonical lead candidate, and may optionally reconcile a time window or report connection health.</w:t>
      </w:r>
    </w:p>
    <w:tbl>
      <w:tblPr>
        <w:tblW w:type="auto" w:w="0"/>
        <w:jc w:val="center"/>
        <w:tblLayout w:type="fixed"/>
        <w:tblLook w:firstColumn="1" w:firstRow="1" w:lastColumn="0" w:lastRow="0" w:noHBand="0" w:noVBand="1" w:val="04A0"/>
      </w:tblPr>
      <w:tblGrid>
        <w:gridCol w:w="10108"/>
      </w:tblGrid>
      <w:tr>
        <w:tc>
          <w:tcPr>
            <w:tcW w:type="dxa" w:w="10080"/>
            <w:shd w:fill="F3F0F5"/>
            <w:tcBorders>
              <w:top w:val="single" w:sz="6" w:space="0" w:color="CFC8D4"/>
              <w:left w:val="single" w:sz="6" w:space="0" w:color="CFC8D4"/>
              <w:bottom w:val="single" w:sz="6" w:space="0" w:color="CFC8D4"/>
              <w:right w:val="single" w:sz="6" w:space="0" w:color="CFC8D4"/>
              <w:insideH w:val="single" w:sz="6" w:space="0" w:color="CFC8D4"/>
              <w:insideV w:val="single" w:sz="6" w:space="0" w:color="CFC8D4"/>
            </w:tcBorders>
            <w:tcMar>
              <w:top w:w="150" w:type="dxa"/>
              <w:start w:w="170" w:type="dxa"/>
              <w:bottom w:w="150" w:type="dxa"/>
              <w:end w:w="170" w:type="dxa"/>
            </w:tcMar>
          </w:tcPr>
          <w:p>
            <w:pPr>
              <w:spacing w:after="0" w:line="240" w:lineRule="auto"/>
            </w:pPr>
            <w:r>
              <w:rPr>
                <w:rFonts w:ascii="Aptos Mono" w:hAnsi="Aptos Mono"/>
                <w:color w:val="27232B"/>
                <w:sz w:val="16"/>
              </w:rPr>
              <w:t>export interface LeadSourceAdapter&lt;TPointer&gt; {</w:t>
              <w:br/>
              <w:t xml:space="preserve">  readonly source: LeadSource;</w:t>
              <w:br/>
              <w:t xml:space="preserve">  decode(</w:t>
              <w:br/>
              <w:t xml:space="preserve">    ingress: PersistedIngress,</w:t>
              <w:br/>
              <w:t xml:space="preserve">    context: AdapterContext</w:t>
              <w:br/>
              <w:t xml:space="preserve">  ): Promise&lt;DecodeResult&lt;TPointer&gt;&gt;;</w:t>
              <w:br/>
              <w:t xml:space="preserve">  hydrate(</w:t>
              <w:br/>
              <w:t xml:space="preserve">    reference: SourceLeadReference&lt;TPointer&gt;,</w:t>
              <w:br/>
              <w:t xml:space="preserve">    context: AdapterContext</w:t>
              <w:br/>
              <w:t xml:space="preserve">  ): Promise&lt;CanonicalLeadCandidate&gt;;</w:t>
              <w:br/>
              <w:t xml:space="preserve">  reconcile?(</w:t>
              <w:br/>
              <w:t xml:space="preserve">    window: ReconciliationWindow,</w:t>
              <w:br/>
              <w:t xml:space="preserve">    context: AdapterContext</w:t>
              <w:br/>
              <w:t xml:space="preserve">  ): AsyncIterable&lt;SourceLeadReference&lt;TPointer&gt;&gt;;</w:t>
              <w:br/>
              <w:t xml:space="preserve">  healthCheck?(</w:t>
              <w:br/>
              <w:t xml:space="preserve">    context: AdapterContext</w:t>
              <w:br/>
              <w:t xml:space="preserve">  ): Promise&lt;{ healthy: boolean; checkedAt: Date; detail?: string }&gt;;</w:t>
              <w:br/>
              <w:t>}</w:t>
            </w:r>
          </w:p>
        </w:tc>
      </w:tr>
    </w:tbl>
    <w:p>
      <w:pPr>
        <w:spacing w:after="20"/>
      </w:pPr>
    </w:p>
    <w:p>
      <w:pPr>
        <w:spacing w:before="0" w:after="140" w:line="276" w:lineRule="auto"/>
      </w:pPr>
      <w:r>
        <w:rPr>
          <w:rFonts w:ascii="Aptos" w:hAnsi="Aptos"/>
          <w:color w:val="000000"/>
          <w:sz w:val="21"/>
        </w:rPr>
        <w:t>Active registry entries are csv_import and meta_lead_form. The CSV adapter is implemented. The Meta adapter is present but deliberately throws a deferred-connection error until the final integration stage.</w:t>
      </w:r>
    </w:p>
    <w:p>
      <w:pPr>
        <w:pStyle w:val="Heading1"/>
        <w:keepNext/>
      </w:pPr>
      <w:r>
        <w:t>Appendix D Recommended continuation order</w:t>
      </w:r>
    </w:p>
    <w:p>
      <w:pPr>
        <w:spacing w:after="80" w:line="264" w:lineRule="auto"/>
        <w:ind w:left="403" w:hanging="403"/>
      </w:pPr>
      <w:r>
        <w:rPr>
          <w:rFonts w:ascii="Aptos" w:hAnsi="Aptos"/>
          <w:sz w:val="20"/>
        </w:rPr>
        <w:t>1.  Checkpoint the repository, review the working-tree diff, and rerun lint, typecheck, tests, and build.</w:t>
      </w:r>
    </w:p>
    <w:p>
      <w:pPr>
        <w:spacing w:after="80" w:line="264" w:lineRule="auto"/>
        <w:ind w:left="403" w:hanging="403"/>
      </w:pPr>
      <w:r>
        <w:rPr>
          <w:rFonts w:ascii="Aptos" w:hAnsi="Aptos"/>
          <w:sz w:val="20"/>
        </w:rPr>
        <w:t>2.  Fix the true weekly browser read model and add report downloads.</w:t>
      </w:r>
    </w:p>
    <w:p>
      <w:pPr>
        <w:spacing w:after="80" w:line="264" w:lineRule="auto"/>
        <w:ind w:left="403" w:hanging="403"/>
      </w:pPr>
      <w:r>
        <w:rPr>
          <w:rFonts w:ascii="Aptos" w:hAnsi="Aptos"/>
          <w:sz w:val="20"/>
        </w:rPr>
        <w:t>3.  Normalize spam closure gating and make closure requirements update live before submission.</w:t>
      </w:r>
    </w:p>
    <w:p>
      <w:pPr>
        <w:spacing w:after="80" w:line="264" w:lineRule="auto"/>
        <w:ind w:left="403" w:hanging="403"/>
      </w:pPr>
      <w:r>
        <w:rPr>
          <w:rFonts w:ascii="Aptos" w:hAnsi="Aptos"/>
          <w:sz w:val="20"/>
        </w:rPr>
        <w:t>4.  Generalize worker scheduling and tenant resolution beyond DEFAULT_TENANT_ID.</w:t>
      </w:r>
    </w:p>
    <w:p>
      <w:pPr>
        <w:spacing w:after="80" w:line="264" w:lineRule="auto"/>
        <w:ind w:left="403" w:hanging="403"/>
      </w:pPr>
      <w:r>
        <w:rPr>
          <w:rFonts w:ascii="Aptos" w:hAnsi="Aptos"/>
          <w:sz w:val="20"/>
        </w:rPr>
        <w:t>5.  Finish push registration, webhook-spool recovery, and application job lifecycle tracking.</w:t>
      </w:r>
    </w:p>
    <w:p>
      <w:pPr>
        <w:spacing w:after="80" w:line="264" w:lineRule="auto"/>
        <w:ind w:left="403" w:hanging="403"/>
      </w:pPr>
      <w:r>
        <w:rPr>
          <w:rFonts w:ascii="Aptos" w:hAnsi="Aptos"/>
          <w:sz w:val="20"/>
        </w:rPr>
        <w:t>6.  Provision production infrastructure, secrets, Google Sheets, authentication delivery, backups, and monitoring.</w:t>
      </w:r>
    </w:p>
    <w:p>
      <w:pPr>
        <w:spacing w:after="80" w:line="264" w:lineRule="auto"/>
        <w:ind w:left="403" w:hanging="403"/>
      </w:pPr>
      <w:r>
        <w:rPr>
          <w:rFonts w:ascii="Aptos" w:hAnsi="Aptos"/>
          <w:sz w:val="20"/>
        </w:rPr>
        <w:t>7.  Run role-by-role mobile and desktop acceptance tests and generate real background artifacts.</w:t>
      </w:r>
    </w:p>
    <w:p>
      <w:pPr>
        <w:spacing w:after="80" w:line="264" w:lineRule="auto"/>
        <w:ind w:left="403" w:hanging="403"/>
      </w:pPr>
      <w:r>
        <w:rPr>
          <w:rFonts w:ascii="Aptos" w:hAnsi="Aptos"/>
          <w:sz w:val="20"/>
        </w:rPr>
        <w:t>8.  Implement and test Meta last, including Business Manager setup, webhook safety, Graph hydration, reconciliation, and token management.</w:t>
      </w:r>
    </w:p>
    <w:p>
      <w:pPr>
        <w:pStyle w:val="Heading1"/>
        <w:keepNext/>
      </w:pPr>
      <w:r>
        <w:t>Handoff conclusion</w:t>
      </w:r>
    </w:p>
    <w:p>
      <w:pPr>
        <w:spacing w:before="0" w:after="140" w:line="276" w:lineRule="auto"/>
      </w:pPr>
      <w:r>
        <w:rPr>
          <w:rFonts w:ascii="Aptos" w:hAnsi="Aptos"/>
          <w:color w:val="000000"/>
          <w:sz w:val="21"/>
        </w:rPr>
        <w:t>The project has a substantial and coherent core rather than a static prototype. Its primary user flows, tenant data model, event evidence, reporting foundation, job system, CSV intake, and Google Sheets connector are implemented. The honest remaining work is productionization, targeted product hardening, and the deliberately deferred Meta integration. No one should describe the system as live or fully production-complete until the blockers and acceptance steps in this document are closed.</w:t>
      </w:r>
    </w:p>
    <w:sectPr w:rsidR="00FC693F" w:rsidRPr="0006063C" w:rsidSect="00034616">
      <w:headerReference w:type="default" r:id="rId9"/>
      <w:footerReference w:type="default" r:id="rId10"/>
      <w:pgSz w:w="12240" w:h="15840"/>
      <w:pgMar w:top="1037" w:right="1066" w:bottom="979" w:left="1066" w:header="403"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B6871"/>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ptos" w:hAnsi="Aptos"/>
        <w:color w:val="6B6871"/>
        <w:sz w:val="17"/>
      </w:rPr>
      <w:t>Lead Response Desk technical handoff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w:hAnsi="Apto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color w:val="000000"/>
      <w:sz w:val="20"/>
    </w:rPr>
  </w:style>
  <w:style w:type="paragraph" w:styleId="ListBullet2">
    <w:name w:val="List Bullet 2"/>
    <w:basedOn w:val="Normal"/>
    <w:uiPriority w:val="99"/>
    <w:unhideWhenUsed/>
    <w:rsid w:val="00326F90"/>
    <w:pPr>
      <w:numPr>
        <w:numId w:val="2"/>
      </w:numPr>
      <w:contextualSpacing/>
    </w:pPr>
    <w:rPr>
      <w:rFonts w:ascii="Aptos" w:hAnsi="Aptos"/>
      <w:color w:val="000000"/>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color w:val="000000"/>
      <w:sz w:val="20"/>
    </w:rPr>
  </w:style>
  <w:style w:type="paragraph" w:styleId="ListNumber2">
    <w:name w:val="List Number 2"/>
    <w:basedOn w:val="Normal"/>
    <w:uiPriority w:val="99"/>
    <w:unhideWhenUsed/>
    <w:rsid w:val="0029639D"/>
    <w:pPr>
      <w:numPr>
        <w:numId w:val="6"/>
      </w:numPr>
      <w:contextualSpacing/>
    </w:pPr>
    <w:rPr>
      <w:rFonts w:ascii="Aptos" w:hAnsi="Aptos"/>
      <w:color w:val="000000"/>
      <w:sz w:val="20"/>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Response Desk Technical Handoff</dc:title>
  <dc:subject>Implementation inventory production readiness and remaining work</dc:subject>
  <dc:creator>Lead Response Desk project</dc:creator>
  <cp:keywords>lead management, handoff, Next.js, PostgreSQL, RLS, pg-boss</cp:keywords>
  <dc:description>generated by python-docx</dc:description>
  <cp:lastModifiedBy/>
  <cp:revision>1</cp:revision>
  <dcterms:created xsi:type="dcterms:W3CDTF">2013-12-23T23:15:00Z</dcterms:created>
  <dcterms:modified xsi:type="dcterms:W3CDTF">2013-12-23T23:15:00Z</dcterms:modified>
  <cp:category/>
</cp:coreProperties>
</file>