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180"/>
        <w:jc w:val="left"/>
      </w:pPr>
      <w:r>
        <w:rPr>
          <w:rFonts w:ascii="Arial" w:hAnsi="Arial"/>
          <w:b/>
          <w:color w:val="253A5C"/>
          <w:sz w:val="22"/>
        </w:rPr>
        <w:t>LEAD RESPONSE DESK</w:t>
      </w:r>
    </w:p>
    <w:p>
      <w:pPr>
        <w:spacing w:after="160"/>
      </w:pPr>
      <w:r>
        <w:rPr>
          <w:rFonts w:ascii="Arial" w:hAnsi="Arial"/>
          <w:b/>
          <w:color w:val="000000"/>
          <w:sz w:val="62"/>
        </w:rPr>
        <w:t>Technical Handoff</w:t>
      </w:r>
    </w:p>
    <w:p>
      <w:pPr>
        <w:spacing w:after="520"/>
      </w:pPr>
      <w:r>
        <w:rPr>
          <w:rFonts w:ascii="Arial" w:hAnsi="Arial"/>
          <w:color w:val="5B6573"/>
          <w:sz w:val="32"/>
        </w:rPr>
        <w:t>Roopkala Lead Desk - Version 1</w:t>
      </w:r>
    </w:p>
    <w:tbl>
      <w:tblPr>
        <w:tblW w:type="auto" w:w="0"/>
        <w:jc w:val="center"/>
        <w:tblLayout w:type="fixed"/>
        <w:tblLook w:firstColumn="1" w:firstRow="1" w:lastColumn="0" w:lastRow="0" w:noHBand="0" w:noVBand="1" w:val="04A0"/>
      </w:tblPr>
      <w:tblGrid>
        <w:gridCol w:w="9720"/>
      </w:tblGrid>
      <w:tr>
        <w:tc>
          <w:tcPr>
            <w:tcW w:type="dxa" w:w="9994"/>
            <w:shd w:fill="EAF5EE"/>
            <w:tcMar>
              <w:top w:w="140" w:type="dxa"/>
              <w:start w:w="160" w:type="dxa"/>
              <w:bottom w:w="140" w:type="dxa"/>
              <w:end w:w="160" w:type="dxa"/>
            </w:tcMar>
          </w:tcPr>
          <w:p>
            <w:pPr>
              <w:spacing w:after="40"/>
            </w:pPr>
            <w:r>
              <w:rPr>
                <w:rFonts w:ascii="Arial" w:hAnsi="Arial"/>
                <w:b/>
                <w:color w:val="000000"/>
                <w:sz w:val="21"/>
              </w:rPr>
              <w:t>HANDOFF STATUS: IMPLEMENTATION COMPLETE; EXTERNAL ACTIVATION REMAINS</w:t>
            </w:r>
          </w:p>
          <w:p>
            <w:pPr>
              <w:spacing w:after="0" w:line="259" w:lineRule="auto"/>
            </w:pPr>
            <w:r>
              <w:rPr>
                <w:rFonts w:ascii="Arial" w:hAnsi="Arial"/>
                <w:color w:val="000000"/>
                <w:sz w:val="18"/>
              </w:rPr>
              <w:t>The application, database migrations, worker jobs, tenancy controls and production configuration are complete and verified locally. Live VPS deployment, real Google credentials, the real Meta account, approved DNS and physical-device acceptance remain deployment activities.</w:t>
            </w:r>
          </w:p>
        </w:tc>
      </w:tr>
    </w:tbl>
    <w:p>
      <w:pPr>
        <w:spacing w:after="0"/>
      </w:pPr>
    </w:p>
    <w:p>
      <w:pPr>
        <w:spacing w:after="920"/>
      </w:pPr>
    </w:p>
    <w:p>
      <w:pPr>
        <w:spacing w:after="80"/>
      </w:pPr>
      <w:r>
        <w:rPr>
          <w:rFonts w:ascii="Arial" w:hAnsi="Arial"/>
          <w:b/>
          <w:color w:val="000000"/>
          <w:sz w:val="19"/>
        </w:rPr>
        <w:t xml:space="preserve">Repository: </w:t>
      </w:r>
      <w:r>
        <w:rPr>
          <w:rFonts w:ascii="Arial" w:hAnsi="Arial"/>
          <w:color w:val="000000"/>
          <w:sz w:val="19"/>
        </w:rPr>
        <w:t>lead-response-desk</w:t>
      </w:r>
    </w:p>
    <w:p>
      <w:pPr>
        <w:spacing w:after="80"/>
      </w:pPr>
      <w:r>
        <w:rPr>
          <w:rFonts w:ascii="Arial" w:hAnsi="Arial"/>
          <w:b/>
          <w:color w:val="000000"/>
          <w:sz w:val="19"/>
        </w:rPr>
        <w:t xml:space="preserve">Client-facing name: </w:t>
      </w:r>
      <w:r>
        <w:rPr>
          <w:rFonts w:ascii="Arial" w:hAnsi="Arial"/>
          <w:color w:val="000000"/>
          <w:sz w:val="19"/>
        </w:rPr>
        <w:t>Roopkala Lead Desk</w:t>
      </w:r>
    </w:p>
    <w:p>
      <w:pPr>
        <w:spacing w:after="80"/>
      </w:pPr>
      <w:r>
        <w:rPr>
          <w:rFonts w:ascii="Arial" w:hAnsi="Arial"/>
          <w:b/>
          <w:color w:val="000000"/>
          <w:sz w:val="19"/>
        </w:rPr>
        <w:t xml:space="preserve">Prepared: </w:t>
      </w:r>
      <w:r>
        <w:rPr>
          <w:rFonts w:ascii="Arial" w:hAnsi="Arial"/>
          <w:color w:val="000000"/>
          <w:sz w:val="19"/>
        </w:rPr>
        <w:t>23 September 2026</w:t>
      </w:r>
    </w:p>
    <w:p>
      <w:pPr>
        <w:spacing w:after="80"/>
      </w:pPr>
      <w:r>
        <w:rPr>
          <w:rFonts w:ascii="Arial" w:hAnsi="Arial"/>
          <w:b/>
          <w:color w:val="000000"/>
          <w:sz w:val="19"/>
        </w:rPr>
        <w:t xml:space="preserve">Evidence baseline: </w:t>
      </w:r>
      <w:r>
        <w:rPr>
          <w:rFonts w:ascii="Arial" w:hAnsi="Arial"/>
          <w:color w:val="000000"/>
          <w:sz w:val="19"/>
        </w:rPr>
        <w:t>43 automated tests; clean database bootstrap; production build</w:t>
      </w:r>
    </w:p>
    <w:p>
      <w:r>
        <w:br w:type="page"/>
      </w:r>
    </w:p>
    <w:p>
      <w:pPr>
        <w:pStyle w:val="Heading1"/>
        <w:keepNext/>
        <w:spacing w:before="160" w:after="80"/>
      </w:pPr>
      <w:r>
        <w:rPr>
          <w:rFonts w:ascii="Arial" w:hAnsi="Arial"/>
          <w:b/>
          <w:color w:val="000000"/>
          <w:sz w:val="30"/>
        </w:rPr>
        <w:t>1. Delivery summary</w:t>
      </w:r>
    </w:p>
    <w:p>
      <w:pPr>
        <w:spacing w:after="80" w:line="259" w:lineRule="auto"/>
      </w:pPr>
      <w:r>
        <w:rPr>
          <w:rFonts w:ascii="Arial" w:hAnsi="Arial"/>
          <w:color w:val="000000"/>
          <w:sz w:val="18"/>
        </w:rPr>
        <w:t>Lead Response Desk is a standalone, multi-tenant lead intake and follow-up application. Its supported production flow is Google Sheets or Meta intake, round-robin ownership, a salesperson Today queue, immediate Call/WhatsApp first-touch capture, a four-business-day follow-up cadence, canonical Won/Dead/Bad outcomes and owner performance reporting.</w:t>
      </w:r>
    </w:p>
    <w:tbl>
      <w:tblPr>
        <w:tblW w:type="auto" w:w="0"/>
        <w:jc w:val="center"/>
        <w:tblLayout w:type="fixed"/>
        <w:tblLook w:firstColumn="1" w:firstRow="1" w:lastColumn="0" w:lastRow="0" w:noHBand="0" w:noVBand="1" w:val="04A0"/>
        <w:tblBorders>
          <w:top w:val="single" w:sz="6" w:color="CBD3DC"/>
          <w:left w:val="single" w:sz="6" w:color="CBD3DC"/>
          <w:bottom w:val="single" w:sz="6" w:color="CBD3DC"/>
          <w:right w:val="single" w:sz="6" w:color="CBD3DC"/>
          <w:insideH w:val="single" w:sz="6" w:color="CBD3DC"/>
          <w:insideV w:val="single" w:sz="6" w:color="CBD3DC"/>
        </w:tblBorders>
      </w:tblPr>
      <w:tblGrid>
        <w:gridCol w:w="3331"/>
        <w:gridCol w:w="3331"/>
        <w:gridCol w:w="3331"/>
      </w:tblGrid>
      <w:tr>
        <w:trPr>
          <w:tblHeader w:val="true"/>
        </w:trPr>
        <w:tc>
          <w:tcPr>
            <w:tcW w:type="dxa" w:w="1800"/>
            <w:shd w:fill="253A5C"/>
            <w:tcMar>
              <w:top w:w="90" w:type="dxa"/>
              <w:start w:w="110" w:type="dxa"/>
              <w:bottom w:w="90" w:type="dxa"/>
              <w:end w:w="110" w:type="dxa"/>
            </w:tcMar>
            <w:vAlign w:val="center"/>
          </w:tcPr>
          <w:p>
            <w:pPr>
              <w:spacing w:after="0"/>
            </w:pPr>
            <w:r>
              <w:rPr>
                <w:rFonts w:ascii="Arial" w:hAnsi="Arial"/>
                <w:b/>
                <w:color w:val="FFFFFF"/>
                <w:sz w:val="16"/>
              </w:rPr>
              <w:t>Area</w:t>
            </w:r>
          </w:p>
        </w:tc>
        <w:tc>
          <w:tcPr>
            <w:tcW w:type="dxa" w:w="1512"/>
            <w:shd w:fill="253A5C"/>
            <w:tcMar>
              <w:top w:w="90" w:type="dxa"/>
              <w:start w:w="110" w:type="dxa"/>
              <w:bottom w:w="90" w:type="dxa"/>
              <w:end w:w="110" w:type="dxa"/>
            </w:tcMar>
            <w:vAlign w:val="center"/>
          </w:tcPr>
          <w:p>
            <w:pPr>
              <w:spacing w:after="0"/>
            </w:pPr>
            <w:r>
              <w:rPr>
                <w:rFonts w:ascii="Arial" w:hAnsi="Arial"/>
                <w:b/>
                <w:color w:val="FFFFFF"/>
                <w:sz w:val="16"/>
              </w:rPr>
              <w:t>Status</w:t>
            </w:r>
          </w:p>
        </w:tc>
        <w:tc>
          <w:tcPr>
            <w:tcW w:type="dxa" w:w="6408"/>
            <w:shd w:fill="253A5C"/>
            <w:tcMar>
              <w:top w:w="90" w:type="dxa"/>
              <w:start w:w="110" w:type="dxa"/>
              <w:bottom w:w="90" w:type="dxa"/>
              <w:end w:w="110" w:type="dxa"/>
            </w:tcMar>
            <w:vAlign w:val="center"/>
          </w:tcPr>
          <w:p>
            <w:pPr>
              <w:spacing w:after="0"/>
            </w:pPr>
            <w:r>
              <w:rPr>
                <w:rFonts w:ascii="Arial" w:hAnsi="Arial"/>
                <w:b/>
                <w:color w:val="FFFFFF"/>
                <w:sz w:val="16"/>
              </w:rPr>
              <w:t>What is delivered</w:t>
            </w:r>
          </w:p>
        </w:tc>
      </w:tr>
      <w:tr>
        <w:tc>
          <w:tcPr>
            <w:tcW w:type="dxa" w:w="1800"/>
            <w:tcMar>
              <w:top w:w="90" w:type="dxa"/>
              <w:start w:w="110" w:type="dxa"/>
              <w:bottom w:w="90" w:type="dxa"/>
              <w:end w:w="110" w:type="dxa"/>
            </w:tcMar>
            <w:vAlign w:val="top"/>
          </w:tcPr>
          <w:p>
            <w:pPr>
              <w:spacing w:after="0" w:line="245" w:lineRule="auto"/>
            </w:pPr>
            <w:r>
              <w:rPr>
                <w:rFonts w:ascii="Arial" w:hAnsi="Arial"/>
                <w:color w:val="000000"/>
                <w:sz w:val="16"/>
              </w:rPr>
              <w:t>Core product</w:t>
            </w:r>
          </w:p>
        </w:tc>
        <w:tc>
          <w:tcPr>
            <w:tcW w:type="dxa" w:w="1512"/>
            <w:tcMar>
              <w:top w:w="90" w:type="dxa"/>
              <w:start w:w="110" w:type="dxa"/>
              <w:bottom w:w="90" w:type="dxa"/>
              <w:end w:w="110" w:type="dxa"/>
            </w:tcMar>
            <w:vAlign w:val="top"/>
          </w:tcPr>
          <w:p>
            <w:pPr>
              <w:spacing w:after="0" w:line="245" w:lineRule="auto"/>
            </w:pPr>
            <w:r>
              <w:rPr>
                <w:rFonts w:ascii="Arial" w:hAnsi="Arial"/>
                <w:color w:val="000000"/>
                <w:sz w:val="16"/>
              </w:rPr>
              <w:t>PASS</w:t>
            </w:r>
          </w:p>
        </w:tc>
        <w:tc>
          <w:tcPr>
            <w:tcW w:type="dxa" w:w="6408"/>
            <w:tcMar>
              <w:top w:w="90" w:type="dxa"/>
              <w:start w:w="110" w:type="dxa"/>
              <w:bottom w:w="90" w:type="dxa"/>
              <w:end w:w="110" w:type="dxa"/>
            </w:tcMar>
            <w:vAlign w:val="top"/>
          </w:tcPr>
          <w:p>
            <w:pPr>
              <w:spacing w:after="0" w:line="245" w:lineRule="auto"/>
            </w:pPr>
            <w:r>
              <w:rPr>
                <w:rFonts w:ascii="Arial" w:hAnsi="Arial"/>
                <w:color w:val="000000"/>
                <w:sz w:val="16"/>
              </w:rPr>
              <w:t>Login, role-based navigation, Today queue, lead detail, attempts, notes, follow-ups, outcomes, settings and dashboard.</w:t>
            </w:r>
          </w:p>
        </w:tc>
      </w:tr>
      <w:tr>
        <w:tc>
          <w:tcPr>
            <w:tcW w:type="dxa" w:w="1800"/>
            <w:tcMar>
              <w:top w:w="90" w:type="dxa"/>
              <w:start w:w="110" w:type="dxa"/>
              <w:bottom w:w="90" w:type="dxa"/>
              <w:end w:w="110" w:type="dxa"/>
            </w:tcMar>
            <w:vAlign w:val="top"/>
            <w:shd w:fill="F7F9FB"/>
          </w:tcPr>
          <w:p>
            <w:pPr>
              <w:spacing w:after="0" w:line="245" w:lineRule="auto"/>
            </w:pPr>
            <w:r>
              <w:rPr>
                <w:rFonts w:ascii="Arial" w:hAnsi="Arial"/>
                <w:color w:val="000000"/>
                <w:sz w:val="16"/>
              </w:rPr>
              <w:t>Database</w:t>
            </w:r>
          </w:p>
        </w:tc>
        <w:tc>
          <w:tcPr>
            <w:tcW w:type="dxa" w:w="1512"/>
            <w:tcMar>
              <w:top w:w="90" w:type="dxa"/>
              <w:start w:w="110" w:type="dxa"/>
              <w:bottom w:w="90" w:type="dxa"/>
              <w:end w:w="110" w:type="dxa"/>
            </w:tcMar>
            <w:vAlign w:val="top"/>
            <w:shd w:fill="F7F9FB"/>
          </w:tcPr>
          <w:p>
            <w:pPr>
              <w:spacing w:after="0" w:line="245" w:lineRule="auto"/>
            </w:pPr>
            <w:r>
              <w:rPr>
                <w:rFonts w:ascii="Arial" w:hAnsi="Arial"/>
                <w:color w:val="000000"/>
                <w:sz w:val="16"/>
              </w:rPr>
              <w:t>PASS</w:t>
            </w:r>
          </w:p>
        </w:tc>
        <w:tc>
          <w:tcPr>
            <w:tcW w:type="dxa" w:w="6408"/>
            <w:tcMar>
              <w:top w:w="90" w:type="dxa"/>
              <w:start w:w="110" w:type="dxa"/>
              <w:bottom w:w="90" w:type="dxa"/>
              <w:end w:w="110" w:type="dxa"/>
            </w:tcMar>
            <w:vAlign w:val="top"/>
            <w:shd w:fill="F7F9FB"/>
          </w:tcPr>
          <w:p>
            <w:pPr>
              <w:spacing w:after="0" w:line="245" w:lineRule="auto"/>
            </w:pPr>
            <w:r>
              <w:rPr>
                <w:rFonts w:ascii="Arial" w:hAnsi="Arial"/>
                <w:color w:val="000000"/>
                <w:sz w:val="16"/>
              </w:rPr>
              <w:t>Seven migrations, tenant isolation, forced RLS, append-only event tables, canonical outcomes and follow-up attribution.</w:t>
            </w:r>
          </w:p>
        </w:tc>
      </w:tr>
      <w:tr>
        <w:tc>
          <w:tcPr>
            <w:tcW w:type="dxa" w:w="1800"/>
            <w:tcMar>
              <w:top w:w="90" w:type="dxa"/>
              <w:start w:w="110" w:type="dxa"/>
              <w:bottom w:w="90" w:type="dxa"/>
              <w:end w:w="110" w:type="dxa"/>
            </w:tcMar>
            <w:vAlign w:val="top"/>
          </w:tcPr>
          <w:p>
            <w:pPr>
              <w:spacing w:after="0" w:line="245" w:lineRule="auto"/>
            </w:pPr>
            <w:r>
              <w:rPr>
                <w:rFonts w:ascii="Arial" w:hAnsi="Arial"/>
                <w:color w:val="000000"/>
                <w:sz w:val="16"/>
              </w:rPr>
              <w:t>Google Sheets</w:t>
            </w:r>
          </w:p>
        </w:tc>
        <w:tc>
          <w:tcPr>
            <w:tcW w:type="dxa" w:w="1512"/>
            <w:tcMar>
              <w:top w:w="90" w:type="dxa"/>
              <w:start w:w="110" w:type="dxa"/>
              <w:bottom w:w="90" w:type="dxa"/>
              <w:end w:w="110" w:type="dxa"/>
            </w:tcMar>
            <w:vAlign w:val="top"/>
          </w:tcPr>
          <w:p>
            <w:pPr>
              <w:spacing w:after="0" w:line="245" w:lineRule="auto"/>
            </w:pPr>
            <w:r>
              <w:rPr>
                <w:rFonts w:ascii="Arial" w:hAnsi="Arial"/>
                <w:color w:val="000000"/>
                <w:sz w:val="16"/>
              </w:rPr>
              <w:t>READY</w:t>
            </w:r>
          </w:p>
        </w:tc>
        <w:tc>
          <w:tcPr>
            <w:tcW w:type="dxa" w:w="6408"/>
            <w:tcMar>
              <w:top w:w="90" w:type="dxa"/>
              <w:start w:w="110" w:type="dxa"/>
              <w:bottom w:w="90" w:type="dxa"/>
              <w:end w:w="110" w:type="dxa"/>
            </w:tcMar>
            <w:vAlign w:val="top"/>
          </w:tcPr>
          <w:p>
            <w:pPr>
              <w:spacing w:after="0" w:line="245" w:lineRule="auto"/>
            </w:pPr>
            <w:r>
              <w:rPr>
                <w:rFonts w:ascii="Arial" w:hAnsi="Arial"/>
                <w:color w:val="000000"/>
                <w:sz w:val="16"/>
              </w:rPr>
              <w:t>Read-only service-account polling, configurable mapping/cutoff, day-first dates, no row limit, deduplication.</w:t>
            </w:r>
          </w:p>
        </w:tc>
      </w:tr>
      <w:tr>
        <w:tc>
          <w:tcPr>
            <w:tcW w:type="dxa" w:w="1800"/>
            <w:tcMar>
              <w:top w:w="90" w:type="dxa"/>
              <w:start w:w="110" w:type="dxa"/>
              <w:bottom w:w="90" w:type="dxa"/>
              <w:end w:w="110" w:type="dxa"/>
            </w:tcMar>
            <w:vAlign w:val="top"/>
            <w:shd w:fill="F7F9FB"/>
          </w:tcPr>
          <w:p>
            <w:pPr>
              <w:spacing w:after="0" w:line="245" w:lineRule="auto"/>
            </w:pPr>
            <w:r>
              <w:rPr>
                <w:rFonts w:ascii="Arial" w:hAnsi="Arial"/>
                <w:color w:val="000000"/>
                <w:sz w:val="16"/>
              </w:rPr>
              <w:t>Meta</w:t>
            </w:r>
          </w:p>
        </w:tc>
        <w:tc>
          <w:tcPr>
            <w:tcW w:type="dxa" w:w="1512"/>
            <w:tcMar>
              <w:top w:w="90" w:type="dxa"/>
              <w:start w:w="110" w:type="dxa"/>
              <w:bottom w:w="90" w:type="dxa"/>
              <w:end w:w="110" w:type="dxa"/>
            </w:tcMar>
            <w:vAlign w:val="top"/>
            <w:shd w:fill="F7F9FB"/>
          </w:tcPr>
          <w:p>
            <w:pPr>
              <w:spacing w:after="0" w:line="245" w:lineRule="auto"/>
            </w:pPr>
            <w:r>
              <w:rPr>
                <w:rFonts w:ascii="Arial" w:hAnsi="Arial"/>
                <w:color w:val="000000"/>
                <w:sz w:val="16"/>
              </w:rPr>
              <w:t>READY / OFF</w:t>
            </w:r>
          </w:p>
        </w:tc>
        <w:tc>
          <w:tcPr>
            <w:tcW w:type="dxa" w:w="6408"/>
            <w:tcMar>
              <w:top w:w="90" w:type="dxa"/>
              <w:start w:w="110" w:type="dxa"/>
              <w:bottom w:w="90" w:type="dxa"/>
              <w:end w:w="110" w:type="dxa"/>
            </w:tcMar>
            <w:vAlign w:val="top"/>
            <w:shd w:fill="F7F9FB"/>
          </w:tcPr>
          <w:p>
            <w:pPr>
              <w:spacing w:after="0" w:line="245" w:lineRule="auto"/>
            </w:pPr>
            <w:r>
              <w:rPr>
                <w:rFonts w:ascii="Arial" w:hAnsi="Arial"/>
                <w:color w:val="000000"/>
                <w:sz w:val="16"/>
              </w:rPr>
              <w:t>Raw-body signature verification, persistence-first handling, Graph hydration/retry, reconciliation and dedupe; disabled until credentials are supplied.</w:t>
            </w:r>
          </w:p>
        </w:tc>
      </w:tr>
      <w:tr>
        <w:tc>
          <w:tcPr>
            <w:tcW w:type="dxa" w:w="1800"/>
            <w:tcMar>
              <w:top w:w="90" w:type="dxa"/>
              <w:start w:w="110" w:type="dxa"/>
              <w:bottom w:w="90" w:type="dxa"/>
              <w:end w:w="110" w:type="dxa"/>
            </w:tcMar>
            <w:vAlign w:val="top"/>
          </w:tcPr>
          <w:p>
            <w:pPr>
              <w:spacing w:after="0" w:line="245" w:lineRule="auto"/>
            </w:pPr>
            <w:r>
              <w:rPr>
                <w:rFonts w:ascii="Arial" w:hAnsi="Arial"/>
                <w:color w:val="000000"/>
                <w:sz w:val="16"/>
              </w:rPr>
              <w:t>Production stack</w:t>
            </w:r>
          </w:p>
        </w:tc>
        <w:tc>
          <w:tcPr>
            <w:tcW w:type="dxa" w:w="1512"/>
            <w:tcMar>
              <w:top w:w="90" w:type="dxa"/>
              <w:start w:w="110" w:type="dxa"/>
              <w:bottom w:w="90" w:type="dxa"/>
              <w:end w:w="110" w:type="dxa"/>
            </w:tcMar>
            <w:vAlign w:val="top"/>
          </w:tcPr>
          <w:p>
            <w:pPr>
              <w:spacing w:after="0" w:line="245" w:lineRule="auto"/>
            </w:pPr>
            <w:r>
              <w:rPr>
                <w:rFonts w:ascii="Arial" w:hAnsi="Arial"/>
                <w:color w:val="000000"/>
                <w:sz w:val="16"/>
              </w:rPr>
              <w:t>READY</w:t>
            </w:r>
          </w:p>
        </w:tc>
        <w:tc>
          <w:tcPr>
            <w:tcW w:type="dxa" w:w="6408"/>
            <w:tcMar>
              <w:top w:w="90" w:type="dxa"/>
              <w:start w:w="110" w:type="dxa"/>
              <w:bottom w:w="90" w:type="dxa"/>
              <w:end w:w="110" w:type="dxa"/>
            </w:tcMar>
            <w:vAlign w:val="top"/>
          </w:tcPr>
          <w:p>
            <w:pPr>
              <w:spacing w:after="0" w:line="245" w:lineRule="auto"/>
            </w:pPr>
            <w:r>
              <w:rPr>
                <w:rFonts w:ascii="Arial" w:hAnsi="Arial"/>
                <w:color w:val="000000"/>
                <w:sz w:val="16"/>
              </w:rPr>
              <w:t>PostgreSQL 16, migrations/bootstrap, Next.js web, dedicated pg-boss worker and Caddy in Docker Compose.</w:t>
            </w:r>
          </w:p>
        </w:tc>
      </w:tr>
      <w:tr>
        <w:tc>
          <w:tcPr>
            <w:tcW w:type="dxa" w:w="1800"/>
            <w:tcMar>
              <w:top w:w="90" w:type="dxa"/>
              <w:start w:w="110" w:type="dxa"/>
              <w:bottom w:w="90" w:type="dxa"/>
              <w:end w:w="110" w:type="dxa"/>
            </w:tcMar>
            <w:vAlign w:val="top"/>
            <w:shd w:fill="F7F9FB"/>
          </w:tcPr>
          <w:p>
            <w:pPr>
              <w:spacing w:after="0" w:line="245" w:lineRule="auto"/>
            </w:pPr>
            <w:r>
              <w:rPr>
                <w:rFonts w:ascii="Arial" w:hAnsi="Arial"/>
                <w:color w:val="000000"/>
                <w:sz w:val="16"/>
              </w:rPr>
              <w:t>Local Docker run</w:t>
            </w:r>
          </w:p>
        </w:tc>
        <w:tc>
          <w:tcPr>
            <w:tcW w:type="dxa" w:w="1512"/>
            <w:tcMar>
              <w:top w:w="90" w:type="dxa"/>
              <w:start w:w="110" w:type="dxa"/>
              <w:bottom w:w="90" w:type="dxa"/>
              <w:end w:w="110" w:type="dxa"/>
            </w:tcMar>
            <w:vAlign w:val="top"/>
            <w:shd w:fill="F7F9FB"/>
          </w:tcPr>
          <w:p>
            <w:pPr>
              <w:spacing w:after="0" w:line="245" w:lineRule="auto"/>
            </w:pPr>
            <w:r>
              <w:rPr>
                <w:rFonts w:ascii="Arial" w:hAnsi="Arial"/>
                <w:color w:val="000000"/>
                <w:sz w:val="16"/>
              </w:rPr>
              <w:t>BLOCKED</w:t>
            </w:r>
          </w:p>
        </w:tc>
        <w:tc>
          <w:tcPr>
            <w:tcW w:type="dxa" w:w="6408"/>
            <w:tcMar>
              <w:top w:w="90" w:type="dxa"/>
              <w:start w:w="110" w:type="dxa"/>
              <w:bottom w:w="90" w:type="dxa"/>
              <w:end w:w="110" w:type="dxa"/>
            </w:tcMar>
            <w:vAlign w:val="top"/>
            <w:shd w:fill="F7F9FB"/>
          </w:tcPr>
          <w:p>
            <w:pPr>
              <w:spacing w:after="0" w:line="245" w:lineRule="auto"/>
            </w:pPr>
            <w:r>
              <w:rPr>
                <w:rFonts w:ascii="Arial" w:hAnsi="Arial"/>
                <w:color w:val="000000"/>
                <w:sz w:val="16"/>
              </w:rPr>
              <w:t>Docker executable is not installed on the verification Mac. Equivalent native Postgres, web and worker boot passed.</w:t>
            </w:r>
          </w:p>
        </w:tc>
      </w:tr>
    </w:tbl>
    <w:p>
      <w:pPr>
        <w:spacing w:after="0"/>
      </w:pPr>
    </w:p>
    <w:p>
      <w:pPr>
        <w:pStyle w:val="Heading2"/>
        <w:keepNext/>
        <w:spacing w:before="100" w:after="80"/>
      </w:pPr>
      <w:r>
        <w:rPr>
          <w:rFonts w:ascii="Arial" w:hAnsi="Arial"/>
          <w:b/>
          <w:color w:val="000000"/>
          <w:sz w:val="23"/>
        </w:rPr>
        <w:t>What was intentionally removed</w:t>
      </w:r>
    </w:p>
    <w:p>
      <w:pPr>
        <w:pStyle w:val="ListBullet"/>
        <w:spacing w:after="46" w:line="252" w:lineRule="auto"/>
        <w:ind w:left="317" w:hanging="230"/>
      </w:pPr>
      <w:r>
        <w:rPr>
          <w:rFonts w:ascii="Arial" w:hAnsi="Arial"/>
          <w:color w:val="000000"/>
          <w:sz w:val="18"/>
        </w:rPr>
        <w:t>Push notifications, provider-sent WhatsApp alerts and their fallback test.</w:t>
      </w:r>
    </w:p>
    <w:p>
      <w:pPr>
        <w:pStyle w:val="ListBullet"/>
        <w:spacing w:after="46" w:line="252" w:lineRule="auto"/>
        <w:ind w:left="317" w:hanging="230"/>
      </w:pPr>
      <w:r>
        <w:rPr>
          <w:rFonts w:ascii="Arial" w:hAnsi="Arial"/>
          <w:color w:val="000000"/>
          <w:sz w:val="18"/>
        </w:rPr>
        <w:t>International-SLA special handling and its test. All leads use the configured store-hours business clock.</w:t>
      </w:r>
    </w:p>
    <w:p>
      <w:pPr>
        <w:pStyle w:val="ListBullet"/>
        <w:spacing w:after="46" w:line="252" w:lineRule="auto"/>
        <w:ind w:left="317" w:hanging="230"/>
      </w:pPr>
      <w:r>
        <w:rPr>
          <w:rFonts w:ascii="Arial" w:hAnsi="Arial"/>
          <w:color w:val="000000"/>
          <w:sz w:val="18"/>
        </w:rPr>
        <w:t>Quality, campaign and report/PDF screens, weekly report route, CSV-import UI and offline/PWA files.</w:t>
      </w:r>
    </w:p>
    <w:p>
      <w:pPr>
        <w:pStyle w:val="ListBullet"/>
        <w:spacing w:after="46" w:line="252" w:lineRule="auto"/>
        <w:ind w:left="317" w:hanging="230"/>
      </w:pPr>
      <w:r>
        <w:rPr>
          <w:rFonts w:ascii="Arial" w:hAnsi="Arial"/>
          <w:color w:val="000000"/>
          <w:sz w:val="18"/>
        </w:rPr>
        <w:t>OTP and magic-link delivery. Version 1 uses password authentication with secure server sessions.</w:t>
      </w:r>
    </w:p>
    <w:p>
      <w:pPr>
        <w:pStyle w:val="Heading2"/>
        <w:keepNext/>
        <w:spacing w:before="100" w:after="80"/>
      </w:pPr>
      <w:r>
        <w:rPr>
          <w:rFonts w:ascii="Arial" w:hAnsi="Arial"/>
          <w:b/>
          <w:color w:val="000000"/>
          <w:sz w:val="23"/>
        </w:rPr>
        <w:t>What is not yet a live-production fact</w:t>
      </w:r>
    </w:p>
    <w:p>
      <w:pPr>
        <w:pStyle w:val="ListBullet"/>
        <w:spacing w:after="46" w:line="252" w:lineRule="auto"/>
        <w:ind w:left="317" w:hanging="230"/>
      </w:pPr>
      <w:r>
        <w:rPr>
          <w:rFonts w:ascii="Arial" w:hAnsi="Arial"/>
          <w:color w:val="000000"/>
          <w:sz w:val="18"/>
        </w:rPr>
        <w:t>No real Meta Business Manager, Page or token has been connected.</w:t>
      </w:r>
    </w:p>
    <w:p>
      <w:pPr>
        <w:pStyle w:val="ListBullet"/>
        <w:spacing w:after="46" w:line="252" w:lineRule="auto"/>
        <w:ind w:left="317" w:hanging="230"/>
      </w:pPr>
      <w:r>
        <w:rPr>
          <w:rFonts w:ascii="Arial" w:hAnsi="Arial"/>
          <w:color w:val="000000"/>
          <w:sz w:val="18"/>
        </w:rPr>
        <w:t>No real Google Sheet/service account has been connected in this environment.</w:t>
      </w:r>
    </w:p>
    <w:p>
      <w:pPr>
        <w:pStyle w:val="ListBullet"/>
        <w:spacing w:after="46" w:line="252" w:lineRule="auto"/>
        <w:ind w:left="317" w:hanging="230"/>
      </w:pPr>
      <w:r>
        <w:rPr>
          <w:rFonts w:ascii="Arial" w:hAnsi="Arial"/>
          <w:color w:val="000000"/>
          <w:sz w:val="18"/>
        </w:rPr>
        <w:t>The VPS, Caddy TLS, approved domain/DNS and off-host backups have not been provisioned here.</w:t>
      </w:r>
    </w:p>
    <w:p>
      <w:pPr>
        <w:pStyle w:val="ListBullet"/>
        <w:spacing w:after="46" w:line="252" w:lineRule="auto"/>
        <w:ind w:left="317" w:hanging="230"/>
      </w:pPr>
      <w:r>
        <w:rPr>
          <w:rFonts w:ascii="Arial" w:hAnsi="Arial"/>
          <w:color w:val="000000"/>
          <w:sz w:val="18"/>
        </w:rPr>
        <w:t>Physical iOS/Android acceptance was not executed; mobile behavior is covered by code/contract tests.</w:t>
      </w:r>
    </w:p>
    <w:p>
      <w:r>
        <w:br w:type="page"/>
      </w:r>
    </w:p>
    <w:p>
      <w:pPr>
        <w:pStyle w:val="Heading1"/>
        <w:keepNext/>
        <w:spacing w:before="160" w:after="80"/>
      </w:pPr>
      <w:r>
        <w:rPr>
          <w:rFonts w:ascii="Arial" w:hAnsi="Arial"/>
          <w:b/>
          <w:color w:val="000000"/>
          <w:sz w:val="30"/>
        </w:rPr>
        <w:t>2. Architecture and runtime</w:t>
      </w:r>
    </w:p>
    <w:tbl>
      <w:tblPr>
        <w:tblW w:type="auto" w:w="0"/>
        <w:jc w:val="center"/>
        <w:tblLayout w:type="fixed"/>
        <w:tblLook w:firstColumn="1" w:firstRow="1" w:lastColumn="0" w:lastRow="0" w:noHBand="0" w:noVBand="1" w:val="04A0"/>
        <w:tblBorders>
          <w:top w:val="single" w:sz="6" w:color="CBD3DC"/>
          <w:left w:val="single" w:sz="6" w:color="CBD3DC"/>
          <w:bottom w:val="single" w:sz="6" w:color="CBD3DC"/>
          <w:right w:val="single" w:sz="6" w:color="CBD3DC"/>
          <w:insideH w:val="single" w:sz="6" w:color="CBD3DC"/>
          <w:insideV w:val="single" w:sz="6" w:color="CBD3DC"/>
        </w:tblBorders>
      </w:tblPr>
      <w:tblGrid>
        <w:gridCol w:w="3331"/>
        <w:gridCol w:w="3331"/>
        <w:gridCol w:w="3331"/>
      </w:tblGrid>
      <w:tr>
        <w:trPr>
          <w:tblHeader w:val="true"/>
        </w:trPr>
        <w:tc>
          <w:tcPr>
            <w:tcW w:type="dxa" w:w="1800"/>
            <w:shd w:fill="253A5C"/>
            <w:tcMar>
              <w:top w:w="90" w:type="dxa"/>
              <w:start w:w="110" w:type="dxa"/>
              <w:bottom w:w="90" w:type="dxa"/>
              <w:end w:w="110" w:type="dxa"/>
            </w:tcMar>
            <w:vAlign w:val="center"/>
          </w:tcPr>
          <w:p>
            <w:pPr>
              <w:spacing w:after="0"/>
            </w:pPr>
            <w:r>
              <w:rPr>
                <w:rFonts w:ascii="Arial" w:hAnsi="Arial"/>
                <w:b/>
                <w:color w:val="FFFFFF"/>
                <w:sz w:val="16"/>
              </w:rPr>
              <w:t>Component</w:t>
            </w:r>
          </w:p>
        </w:tc>
        <w:tc>
          <w:tcPr>
            <w:tcW w:type="dxa" w:w="4680"/>
            <w:shd w:fill="253A5C"/>
            <w:tcMar>
              <w:top w:w="90" w:type="dxa"/>
              <w:start w:w="110" w:type="dxa"/>
              <w:bottom w:w="90" w:type="dxa"/>
              <w:end w:w="110" w:type="dxa"/>
            </w:tcMar>
            <w:vAlign w:val="center"/>
          </w:tcPr>
          <w:p>
            <w:pPr>
              <w:spacing w:after="0"/>
            </w:pPr>
            <w:r>
              <w:rPr>
                <w:rFonts w:ascii="Arial" w:hAnsi="Arial"/>
                <w:b/>
                <w:color w:val="FFFFFF"/>
                <w:sz w:val="16"/>
              </w:rPr>
              <w:t>Responsibility</w:t>
            </w:r>
          </w:p>
        </w:tc>
        <w:tc>
          <w:tcPr>
            <w:tcW w:type="dxa" w:w="3240"/>
            <w:shd w:fill="253A5C"/>
            <w:tcMar>
              <w:top w:w="90" w:type="dxa"/>
              <w:start w:w="110" w:type="dxa"/>
              <w:bottom w:w="90" w:type="dxa"/>
              <w:end w:w="110" w:type="dxa"/>
            </w:tcMar>
            <w:vAlign w:val="center"/>
          </w:tcPr>
          <w:p>
            <w:pPr>
              <w:spacing w:after="0"/>
            </w:pPr>
            <w:r>
              <w:rPr>
                <w:rFonts w:ascii="Arial" w:hAnsi="Arial"/>
                <w:b/>
                <w:color w:val="FFFFFF"/>
                <w:sz w:val="16"/>
              </w:rPr>
              <w:t>Runtime boundary</w:t>
            </w:r>
          </w:p>
        </w:tc>
      </w:tr>
      <w:tr>
        <w:tc>
          <w:tcPr>
            <w:tcW w:type="dxa" w:w="1800"/>
            <w:tcMar>
              <w:top w:w="90" w:type="dxa"/>
              <w:start w:w="110" w:type="dxa"/>
              <w:bottom w:w="90" w:type="dxa"/>
              <w:end w:w="110" w:type="dxa"/>
            </w:tcMar>
            <w:vAlign w:val="top"/>
          </w:tcPr>
          <w:p>
            <w:pPr>
              <w:spacing w:after="0" w:line="245" w:lineRule="auto"/>
            </w:pPr>
            <w:r>
              <w:rPr>
                <w:rFonts w:ascii="Arial" w:hAnsi="Arial"/>
                <w:color w:val="000000"/>
                <w:sz w:val="16"/>
              </w:rPr>
              <w:t>Next.js web</w:t>
            </w:r>
          </w:p>
        </w:tc>
        <w:tc>
          <w:tcPr>
            <w:tcW w:type="dxa" w:w="4680"/>
            <w:tcMar>
              <w:top w:w="90" w:type="dxa"/>
              <w:start w:w="110" w:type="dxa"/>
              <w:bottom w:w="90" w:type="dxa"/>
              <w:end w:w="110" w:type="dxa"/>
            </w:tcMar>
            <w:vAlign w:val="top"/>
          </w:tcPr>
          <w:p>
            <w:pPr>
              <w:spacing w:after="0" w:line="245" w:lineRule="auto"/>
            </w:pPr>
            <w:r>
              <w:rPr>
                <w:rFonts w:ascii="Arial" w:hAnsi="Arial"/>
                <w:color w:val="000000"/>
                <w:sz w:val="16"/>
              </w:rPr>
              <w:t>Authenticated screens and JSON endpoints</w:t>
            </w:r>
          </w:p>
        </w:tc>
        <w:tc>
          <w:tcPr>
            <w:tcW w:type="dxa" w:w="3240"/>
            <w:tcMar>
              <w:top w:w="90" w:type="dxa"/>
              <w:start w:w="110" w:type="dxa"/>
              <w:bottom w:w="90" w:type="dxa"/>
              <w:end w:w="110" w:type="dxa"/>
            </w:tcMar>
            <w:vAlign w:val="top"/>
          </w:tcPr>
          <w:p>
            <w:pPr>
              <w:spacing w:after="0" w:line="245" w:lineRule="auto"/>
            </w:pPr>
            <w:r>
              <w:rPr>
                <w:rFonts w:ascii="Arial" w:hAnsi="Arial"/>
                <w:color w:val="000000"/>
                <w:sz w:val="16"/>
              </w:rPr>
              <w:t>Port 3000 inside Compose; reached only through Caddy</w:t>
            </w:r>
          </w:p>
        </w:tc>
      </w:tr>
      <w:tr>
        <w:tc>
          <w:tcPr>
            <w:tcW w:type="dxa" w:w="1800"/>
            <w:tcMar>
              <w:top w:w="90" w:type="dxa"/>
              <w:start w:w="110" w:type="dxa"/>
              <w:bottom w:w="90" w:type="dxa"/>
              <w:end w:w="110" w:type="dxa"/>
            </w:tcMar>
            <w:vAlign w:val="top"/>
            <w:shd w:fill="F7F9FB"/>
          </w:tcPr>
          <w:p>
            <w:pPr>
              <w:spacing w:after="0" w:line="245" w:lineRule="auto"/>
            </w:pPr>
            <w:r>
              <w:rPr>
                <w:rFonts w:ascii="Arial" w:hAnsi="Arial"/>
                <w:color w:val="000000"/>
                <w:sz w:val="16"/>
              </w:rPr>
              <w:t>PostgreSQL 16</w:t>
            </w:r>
          </w:p>
        </w:tc>
        <w:tc>
          <w:tcPr>
            <w:tcW w:type="dxa" w:w="4680"/>
            <w:tcMar>
              <w:top w:w="90" w:type="dxa"/>
              <w:start w:w="110" w:type="dxa"/>
              <w:bottom w:w="90" w:type="dxa"/>
              <w:end w:w="110" w:type="dxa"/>
            </w:tcMar>
            <w:vAlign w:val="top"/>
            <w:shd w:fill="F7F9FB"/>
          </w:tcPr>
          <w:p>
            <w:pPr>
              <w:spacing w:after="0" w:line="245" w:lineRule="auto"/>
            </w:pPr>
            <w:r>
              <w:rPr>
                <w:rFonts w:ascii="Arial" w:hAnsi="Arial"/>
                <w:color w:val="000000"/>
                <w:sz w:val="16"/>
              </w:rPr>
              <w:t>Tenants, users, leads, attempts/events, follow-ups, jobs/configuration</w:t>
            </w:r>
          </w:p>
        </w:tc>
        <w:tc>
          <w:tcPr>
            <w:tcW w:type="dxa" w:w="3240"/>
            <w:tcMar>
              <w:top w:w="90" w:type="dxa"/>
              <w:start w:w="110" w:type="dxa"/>
              <w:bottom w:w="90" w:type="dxa"/>
              <w:end w:w="110" w:type="dxa"/>
            </w:tcMar>
            <w:vAlign w:val="top"/>
            <w:shd w:fill="F7F9FB"/>
          </w:tcPr>
          <w:p>
            <w:pPr>
              <w:spacing w:after="0" w:line="245" w:lineRule="auto"/>
            </w:pPr>
            <w:r>
              <w:rPr>
                <w:rFonts w:ascii="Arial" w:hAnsi="Arial"/>
                <w:color w:val="000000"/>
                <w:sz w:val="16"/>
              </w:rPr>
              <w:t>Private Docker network; owner role for migration, app role for runtime</w:t>
            </w:r>
          </w:p>
        </w:tc>
      </w:tr>
      <w:tr>
        <w:tc>
          <w:tcPr>
            <w:tcW w:type="dxa" w:w="1800"/>
            <w:tcMar>
              <w:top w:w="90" w:type="dxa"/>
              <w:start w:w="110" w:type="dxa"/>
              <w:bottom w:w="90" w:type="dxa"/>
              <w:end w:w="110" w:type="dxa"/>
            </w:tcMar>
            <w:vAlign w:val="top"/>
          </w:tcPr>
          <w:p>
            <w:pPr>
              <w:spacing w:after="0" w:line="245" w:lineRule="auto"/>
            </w:pPr>
            <w:r>
              <w:rPr>
                <w:rFonts w:ascii="Arial" w:hAnsi="Arial"/>
                <w:color w:val="000000"/>
                <w:sz w:val="16"/>
              </w:rPr>
              <w:t>pg-boss worker</w:t>
            </w:r>
          </w:p>
        </w:tc>
        <w:tc>
          <w:tcPr>
            <w:tcW w:type="dxa" w:w="4680"/>
            <w:tcMar>
              <w:top w:w="90" w:type="dxa"/>
              <w:start w:w="110" w:type="dxa"/>
              <w:bottom w:w="90" w:type="dxa"/>
              <w:end w:w="110" w:type="dxa"/>
            </w:tcMar>
            <w:vAlign w:val="top"/>
          </w:tcPr>
          <w:p>
            <w:pPr>
              <w:spacing w:after="0" w:line="245" w:lineRule="auto"/>
            </w:pPr>
            <w:r>
              <w:rPr>
                <w:rFonts w:ascii="Arial" w:hAnsi="Arial"/>
                <w:color w:val="000000"/>
                <w:sz w:val="16"/>
              </w:rPr>
              <w:t>Follow-up processing, Sheet polling, Meta processing/reconciliation</w:t>
            </w:r>
          </w:p>
        </w:tc>
        <w:tc>
          <w:tcPr>
            <w:tcW w:type="dxa" w:w="3240"/>
            <w:tcMar>
              <w:top w:w="90" w:type="dxa"/>
              <w:start w:w="110" w:type="dxa"/>
              <w:bottom w:w="90" w:type="dxa"/>
              <w:end w:w="110" w:type="dxa"/>
            </w:tcMar>
            <w:vAlign w:val="top"/>
          </w:tcPr>
          <w:p>
            <w:pPr>
              <w:spacing w:after="0" w:line="245" w:lineRule="auto"/>
            </w:pPr>
            <w:r>
              <w:rPr>
                <w:rFonts w:ascii="Arial" w:hAnsi="Arial"/>
                <w:color w:val="000000"/>
                <w:sz w:val="16"/>
              </w:rPr>
              <w:t>Separate process/container; shares database only</w:t>
            </w:r>
          </w:p>
        </w:tc>
      </w:tr>
      <w:tr>
        <w:tc>
          <w:tcPr>
            <w:tcW w:type="dxa" w:w="1800"/>
            <w:tcMar>
              <w:top w:w="90" w:type="dxa"/>
              <w:start w:w="110" w:type="dxa"/>
              <w:bottom w:w="90" w:type="dxa"/>
              <w:end w:w="110" w:type="dxa"/>
            </w:tcMar>
            <w:vAlign w:val="top"/>
            <w:shd w:fill="F7F9FB"/>
          </w:tcPr>
          <w:p>
            <w:pPr>
              <w:spacing w:after="0" w:line="245" w:lineRule="auto"/>
            </w:pPr>
            <w:r>
              <w:rPr>
                <w:rFonts w:ascii="Arial" w:hAnsi="Arial"/>
                <w:color w:val="000000"/>
                <w:sz w:val="16"/>
              </w:rPr>
              <w:t>Caddy</w:t>
            </w:r>
          </w:p>
        </w:tc>
        <w:tc>
          <w:tcPr>
            <w:tcW w:type="dxa" w:w="4680"/>
            <w:tcMar>
              <w:top w:w="90" w:type="dxa"/>
              <w:start w:w="110" w:type="dxa"/>
              <w:bottom w:w="90" w:type="dxa"/>
              <w:end w:w="110" w:type="dxa"/>
            </w:tcMar>
            <w:vAlign w:val="top"/>
            <w:shd w:fill="F7F9FB"/>
          </w:tcPr>
          <w:p>
            <w:pPr>
              <w:spacing w:after="0" w:line="245" w:lineRule="auto"/>
            </w:pPr>
            <w:r>
              <w:rPr>
                <w:rFonts w:ascii="Arial" w:hAnsi="Arial"/>
                <w:color w:val="000000"/>
                <w:sz w:val="16"/>
              </w:rPr>
              <w:t>TLS termination and reverse proxy</w:t>
            </w:r>
          </w:p>
        </w:tc>
        <w:tc>
          <w:tcPr>
            <w:tcW w:type="dxa" w:w="3240"/>
            <w:tcMar>
              <w:top w:w="90" w:type="dxa"/>
              <w:start w:w="110" w:type="dxa"/>
              <w:bottom w:w="90" w:type="dxa"/>
              <w:end w:w="110" w:type="dxa"/>
            </w:tcMar>
            <w:vAlign w:val="top"/>
            <w:shd w:fill="F7F9FB"/>
          </w:tcPr>
          <w:p>
            <w:pPr>
              <w:spacing w:after="0" w:line="245" w:lineRule="auto"/>
            </w:pPr>
            <w:r>
              <w:rPr>
                <w:rFonts w:ascii="Arial" w:hAnsi="Arial"/>
                <w:color w:val="000000"/>
                <w:sz w:val="16"/>
              </w:rPr>
              <w:t>Public ports 80/443</w:t>
            </w:r>
          </w:p>
        </w:tc>
      </w:tr>
      <w:tr>
        <w:tc>
          <w:tcPr>
            <w:tcW w:type="dxa" w:w="1800"/>
            <w:tcMar>
              <w:top w:w="90" w:type="dxa"/>
              <w:start w:w="110" w:type="dxa"/>
              <w:bottom w:w="90" w:type="dxa"/>
              <w:end w:w="110" w:type="dxa"/>
            </w:tcMar>
            <w:vAlign w:val="top"/>
          </w:tcPr>
          <w:p>
            <w:pPr>
              <w:spacing w:after="0" w:line="245" w:lineRule="auto"/>
            </w:pPr>
            <w:r>
              <w:rPr>
                <w:rFonts w:ascii="Arial" w:hAnsi="Arial"/>
                <w:color w:val="000000"/>
                <w:sz w:val="16"/>
              </w:rPr>
              <w:t>Lead adapters</w:t>
            </w:r>
          </w:p>
        </w:tc>
        <w:tc>
          <w:tcPr>
            <w:tcW w:type="dxa" w:w="4680"/>
            <w:tcMar>
              <w:top w:w="90" w:type="dxa"/>
              <w:start w:w="110" w:type="dxa"/>
              <w:bottom w:w="90" w:type="dxa"/>
              <w:end w:w="110" w:type="dxa"/>
            </w:tcMar>
            <w:vAlign w:val="top"/>
          </w:tcPr>
          <w:p>
            <w:pPr>
              <w:spacing w:after="0" w:line="245" w:lineRule="auto"/>
            </w:pPr>
            <w:r>
              <w:rPr>
                <w:rFonts w:ascii="Arial" w:hAnsi="Arial"/>
                <w:color w:val="000000"/>
                <w:sz w:val="16"/>
              </w:rPr>
              <w:t>Normalize Google Sheets and Meta records into one intake contract</w:t>
            </w:r>
          </w:p>
        </w:tc>
        <w:tc>
          <w:tcPr>
            <w:tcW w:type="dxa" w:w="3240"/>
            <w:tcMar>
              <w:top w:w="90" w:type="dxa"/>
              <w:start w:w="110" w:type="dxa"/>
              <w:bottom w:w="90" w:type="dxa"/>
              <w:end w:w="110" w:type="dxa"/>
            </w:tcMar>
            <w:vAlign w:val="top"/>
          </w:tcPr>
          <w:p>
            <w:pPr>
              <w:spacing w:after="0" w:line="245" w:lineRule="auto"/>
            </w:pPr>
            <w:r>
              <w:rPr>
                <w:rFonts w:ascii="Arial" w:hAnsi="Arial"/>
                <w:color w:val="000000"/>
                <w:sz w:val="16"/>
              </w:rPr>
              <w:t>Secrets remain server-side</w:t>
            </w:r>
          </w:p>
        </w:tc>
      </w:tr>
    </w:tbl>
    <w:p>
      <w:pPr>
        <w:spacing w:after="0"/>
      </w:pPr>
    </w:p>
    <w:p>
      <w:pPr>
        <w:pStyle w:val="Heading2"/>
        <w:keepNext/>
        <w:spacing w:before="100" w:after="80"/>
      </w:pPr>
      <w:r>
        <w:rPr>
          <w:rFonts w:ascii="Arial" w:hAnsi="Arial"/>
          <w:b/>
          <w:color w:val="000000"/>
          <w:sz w:val="23"/>
        </w:rPr>
        <w:t>Repository map</w:t>
      </w:r>
    </w:p>
    <w:tbl>
      <w:tblPr>
        <w:tblW w:type="auto" w:w="0"/>
        <w:jc w:val="center"/>
        <w:tblLayout w:type="fixed"/>
        <w:tblLook w:firstColumn="1" w:firstRow="1" w:lastColumn="0" w:lastRow="0" w:noHBand="0" w:noVBand="1" w:val="04A0"/>
        <w:tblBorders>
          <w:top w:val="single" w:sz="6" w:color="CBD3DC"/>
          <w:left w:val="single" w:sz="6" w:color="CBD3DC"/>
          <w:bottom w:val="single" w:sz="6" w:color="CBD3DC"/>
          <w:right w:val="single" w:sz="6" w:color="CBD3DC"/>
          <w:insideH w:val="single" w:sz="6" w:color="CBD3DC"/>
          <w:insideV w:val="single" w:sz="6" w:color="CBD3DC"/>
        </w:tblBorders>
      </w:tblPr>
      <w:tblGrid>
        <w:gridCol w:w="4997"/>
        <w:gridCol w:w="4997"/>
      </w:tblGrid>
      <w:tr>
        <w:trPr>
          <w:tblHeader w:val="true"/>
        </w:trPr>
        <w:tc>
          <w:tcPr>
            <w:tcW w:type="dxa" w:w="2880"/>
            <w:shd w:fill="253A5C"/>
            <w:tcMar>
              <w:top w:w="90" w:type="dxa"/>
              <w:start w:w="110" w:type="dxa"/>
              <w:bottom w:w="90" w:type="dxa"/>
              <w:end w:w="110" w:type="dxa"/>
            </w:tcMar>
            <w:vAlign w:val="center"/>
          </w:tcPr>
          <w:p>
            <w:pPr>
              <w:spacing w:after="0"/>
            </w:pPr>
            <w:r>
              <w:rPr>
                <w:rFonts w:ascii="Arial" w:hAnsi="Arial"/>
                <w:b/>
                <w:color w:val="FFFFFF"/>
                <w:sz w:val="16"/>
              </w:rPr>
              <w:t>Path</w:t>
            </w:r>
          </w:p>
        </w:tc>
        <w:tc>
          <w:tcPr>
            <w:tcW w:type="dxa" w:w="6840"/>
            <w:shd w:fill="253A5C"/>
            <w:tcMar>
              <w:top w:w="90" w:type="dxa"/>
              <w:start w:w="110" w:type="dxa"/>
              <w:bottom w:w="90" w:type="dxa"/>
              <w:end w:w="110" w:type="dxa"/>
            </w:tcMar>
            <w:vAlign w:val="center"/>
          </w:tcPr>
          <w:p>
            <w:pPr>
              <w:spacing w:after="0"/>
            </w:pPr>
            <w:r>
              <w:rPr>
                <w:rFonts w:ascii="Arial" w:hAnsi="Arial"/>
                <w:b/>
                <w:color w:val="FFFFFF"/>
                <w:sz w:val="16"/>
              </w:rPr>
              <w:t>Purpose</w:t>
            </w:r>
          </w:p>
        </w:tc>
      </w:tr>
      <w:tr>
        <w:tc>
          <w:tcPr>
            <w:tcW w:type="dxa" w:w="2880"/>
            <w:tcMar>
              <w:top w:w="90" w:type="dxa"/>
              <w:start w:w="110" w:type="dxa"/>
              <w:bottom w:w="90" w:type="dxa"/>
              <w:end w:w="110" w:type="dxa"/>
            </w:tcMar>
            <w:vAlign w:val="top"/>
          </w:tcPr>
          <w:p>
            <w:pPr>
              <w:spacing w:after="0" w:line="245" w:lineRule="auto"/>
            </w:pPr>
            <w:r>
              <w:rPr>
                <w:rFonts w:ascii="Arial" w:hAnsi="Arial"/>
                <w:color w:val="000000"/>
                <w:sz w:val="16"/>
              </w:rPr>
              <w:t>src/app</w:t>
            </w:r>
          </w:p>
        </w:tc>
        <w:tc>
          <w:tcPr>
            <w:tcW w:type="dxa" w:w="6840"/>
            <w:tcMar>
              <w:top w:w="90" w:type="dxa"/>
              <w:start w:w="110" w:type="dxa"/>
              <w:bottom w:w="90" w:type="dxa"/>
              <w:end w:w="110" w:type="dxa"/>
            </w:tcMar>
            <w:vAlign w:val="top"/>
          </w:tcPr>
          <w:p>
            <w:pPr>
              <w:spacing w:after="0" w:line="245" w:lineRule="auto"/>
            </w:pPr>
            <w:r>
              <w:rPr>
                <w:rFonts w:ascii="Arial" w:hAnsi="Arial"/>
                <w:color w:val="000000"/>
                <w:sz w:val="16"/>
              </w:rPr>
              <w:t>Pages, layouts and route handlers</w:t>
            </w:r>
          </w:p>
        </w:tc>
      </w:tr>
      <w:tr>
        <w:tc>
          <w:tcPr>
            <w:tcW w:type="dxa" w:w="2880"/>
            <w:tcMar>
              <w:top w:w="90" w:type="dxa"/>
              <w:start w:w="110" w:type="dxa"/>
              <w:bottom w:w="90" w:type="dxa"/>
              <w:end w:w="110" w:type="dxa"/>
            </w:tcMar>
            <w:vAlign w:val="top"/>
            <w:shd w:fill="F7F9FB"/>
          </w:tcPr>
          <w:p>
            <w:pPr>
              <w:spacing w:after="0" w:line="245" w:lineRule="auto"/>
            </w:pPr>
            <w:r>
              <w:rPr>
                <w:rFonts w:ascii="Arial" w:hAnsi="Arial"/>
                <w:color w:val="000000"/>
                <w:sz w:val="16"/>
              </w:rPr>
              <w:t>src/components</w:t>
            </w:r>
          </w:p>
        </w:tc>
        <w:tc>
          <w:tcPr>
            <w:tcW w:type="dxa" w:w="6840"/>
            <w:tcMar>
              <w:top w:w="90" w:type="dxa"/>
              <w:start w:w="110" w:type="dxa"/>
              <w:bottom w:w="90" w:type="dxa"/>
              <w:end w:w="110" w:type="dxa"/>
            </w:tcMar>
            <w:vAlign w:val="top"/>
            <w:shd w:fill="F7F9FB"/>
          </w:tcPr>
          <w:p>
            <w:pPr>
              <w:spacing w:after="0" w:line="245" w:lineRule="auto"/>
            </w:pPr>
            <w:r>
              <w:rPr>
                <w:rFonts w:ascii="Arial" w:hAnsi="Arial"/>
                <w:color w:val="000000"/>
                <w:sz w:val="16"/>
              </w:rPr>
              <w:t>Mobile and desktop application UI</w:t>
            </w:r>
          </w:p>
        </w:tc>
      </w:tr>
      <w:tr>
        <w:tc>
          <w:tcPr>
            <w:tcW w:type="dxa" w:w="2880"/>
            <w:tcMar>
              <w:top w:w="90" w:type="dxa"/>
              <w:start w:w="110" w:type="dxa"/>
              <w:bottom w:w="90" w:type="dxa"/>
              <w:end w:w="110" w:type="dxa"/>
            </w:tcMar>
            <w:vAlign w:val="top"/>
          </w:tcPr>
          <w:p>
            <w:pPr>
              <w:spacing w:after="0" w:line="245" w:lineRule="auto"/>
            </w:pPr>
            <w:r>
              <w:rPr>
                <w:rFonts w:ascii="Arial" w:hAnsi="Arial"/>
                <w:color w:val="000000"/>
                <w:sz w:val="16"/>
              </w:rPr>
              <w:t>src/db/migrations</w:t>
            </w:r>
          </w:p>
        </w:tc>
        <w:tc>
          <w:tcPr>
            <w:tcW w:type="dxa" w:w="6840"/>
            <w:tcMar>
              <w:top w:w="90" w:type="dxa"/>
              <w:start w:w="110" w:type="dxa"/>
              <w:bottom w:w="90" w:type="dxa"/>
              <w:end w:w="110" w:type="dxa"/>
            </w:tcMar>
            <w:vAlign w:val="top"/>
          </w:tcPr>
          <w:p>
            <w:pPr>
              <w:spacing w:after="0" w:line="245" w:lineRule="auto"/>
            </w:pPr>
            <w:r>
              <w:rPr>
                <w:rFonts w:ascii="Arial" w:hAnsi="Arial"/>
                <w:color w:val="000000"/>
                <w:sz w:val="16"/>
              </w:rPr>
              <w:t>Ordered SQL migrations 0000 through 0006</w:t>
            </w:r>
          </w:p>
        </w:tc>
      </w:tr>
      <w:tr>
        <w:tc>
          <w:tcPr>
            <w:tcW w:type="dxa" w:w="2880"/>
            <w:tcMar>
              <w:top w:w="90" w:type="dxa"/>
              <w:start w:w="110" w:type="dxa"/>
              <w:bottom w:w="90" w:type="dxa"/>
              <w:end w:w="110" w:type="dxa"/>
            </w:tcMar>
            <w:vAlign w:val="top"/>
            <w:shd w:fill="F7F9FB"/>
          </w:tcPr>
          <w:p>
            <w:pPr>
              <w:spacing w:after="0" w:line="245" w:lineRule="auto"/>
            </w:pPr>
            <w:r>
              <w:rPr>
                <w:rFonts w:ascii="Arial" w:hAnsi="Arial"/>
                <w:color w:val="000000"/>
                <w:sz w:val="16"/>
              </w:rPr>
              <w:t>src/domain</w:t>
            </w:r>
          </w:p>
        </w:tc>
        <w:tc>
          <w:tcPr>
            <w:tcW w:type="dxa" w:w="6840"/>
            <w:tcMar>
              <w:top w:w="90" w:type="dxa"/>
              <w:start w:w="110" w:type="dxa"/>
              <w:bottom w:w="90" w:type="dxa"/>
              <w:end w:w="110" w:type="dxa"/>
            </w:tcMar>
            <w:vAlign w:val="top"/>
            <w:shd w:fill="F7F9FB"/>
          </w:tcPr>
          <w:p>
            <w:pPr>
              <w:spacing w:after="0" w:line="245" w:lineRule="auto"/>
            </w:pPr>
            <w:r>
              <w:rPr>
                <w:rFonts w:ascii="Arial" w:hAnsi="Arial"/>
                <w:color w:val="000000"/>
                <w:sz w:val="16"/>
              </w:rPr>
              <w:t>Normalization, store-hours calculations and product types</w:t>
            </w:r>
          </w:p>
        </w:tc>
      </w:tr>
      <w:tr>
        <w:tc>
          <w:tcPr>
            <w:tcW w:type="dxa" w:w="2880"/>
            <w:tcMar>
              <w:top w:w="90" w:type="dxa"/>
              <w:start w:w="110" w:type="dxa"/>
              <w:bottom w:w="90" w:type="dxa"/>
              <w:end w:w="110" w:type="dxa"/>
            </w:tcMar>
            <w:vAlign w:val="top"/>
          </w:tcPr>
          <w:p>
            <w:pPr>
              <w:spacing w:after="0" w:line="245" w:lineRule="auto"/>
            </w:pPr>
            <w:r>
              <w:rPr>
                <w:rFonts w:ascii="Arial" w:hAnsi="Arial"/>
                <w:color w:val="000000"/>
                <w:sz w:val="16"/>
              </w:rPr>
              <w:t>src/lead-sources</w:t>
            </w:r>
          </w:p>
        </w:tc>
        <w:tc>
          <w:tcPr>
            <w:tcW w:type="dxa" w:w="6840"/>
            <w:tcMar>
              <w:top w:w="90" w:type="dxa"/>
              <w:start w:w="110" w:type="dxa"/>
              <w:bottom w:w="90" w:type="dxa"/>
              <w:end w:w="110" w:type="dxa"/>
            </w:tcMar>
            <w:vAlign w:val="top"/>
          </w:tcPr>
          <w:p>
            <w:pPr>
              <w:spacing w:after="0" w:line="245" w:lineRule="auto"/>
            </w:pPr>
            <w:r>
              <w:rPr>
                <w:rFonts w:ascii="Arial" w:hAnsi="Arial"/>
                <w:color w:val="000000"/>
                <w:sz w:val="16"/>
              </w:rPr>
              <w:t>Meta and Google Sheets adapters</w:t>
            </w:r>
          </w:p>
        </w:tc>
      </w:tr>
      <w:tr>
        <w:tc>
          <w:tcPr>
            <w:tcW w:type="dxa" w:w="2880"/>
            <w:tcMar>
              <w:top w:w="90" w:type="dxa"/>
              <w:start w:w="110" w:type="dxa"/>
              <w:bottom w:w="90" w:type="dxa"/>
              <w:end w:w="110" w:type="dxa"/>
            </w:tcMar>
            <w:vAlign w:val="top"/>
            <w:shd w:fill="F7F9FB"/>
          </w:tcPr>
          <w:p>
            <w:pPr>
              <w:spacing w:after="0" w:line="245" w:lineRule="auto"/>
            </w:pPr>
            <w:r>
              <w:rPr>
                <w:rFonts w:ascii="Arial" w:hAnsi="Arial"/>
                <w:color w:val="000000"/>
                <w:sz w:val="16"/>
              </w:rPr>
              <w:t>src/services</w:t>
            </w:r>
          </w:p>
        </w:tc>
        <w:tc>
          <w:tcPr>
            <w:tcW w:type="dxa" w:w="6840"/>
            <w:tcMar>
              <w:top w:w="90" w:type="dxa"/>
              <w:start w:w="110" w:type="dxa"/>
              <w:bottom w:w="90" w:type="dxa"/>
              <w:end w:w="110" w:type="dxa"/>
            </w:tcMar>
            <w:vAlign w:val="top"/>
            <w:shd w:fill="F7F9FB"/>
          </w:tcPr>
          <w:p>
            <w:pPr>
              <w:spacing w:after="0" w:line="245" w:lineRule="auto"/>
            </w:pPr>
            <w:r>
              <w:rPr>
                <w:rFonts w:ascii="Arial" w:hAnsi="Arial"/>
                <w:color w:val="000000"/>
                <w:sz w:val="16"/>
              </w:rPr>
              <w:t>Lead intake, synchronization and read models</w:t>
            </w:r>
          </w:p>
        </w:tc>
      </w:tr>
      <w:tr>
        <w:tc>
          <w:tcPr>
            <w:tcW w:type="dxa" w:w="2880"/>
            <w:tcMar>
              <w:top w:w="90" w:type="dxa"/>
              <w:start w:w="110" w:type="dxa"/>
              <w:bottom w:w="90" w:type="dxa"/>
              <w:end w:w="110" w:type="dxa"/>
            </w:tcMar>
            <w:vAlign w:val="top"/>
          </w:tcPr>
          <w:p>
            <w:pPr>
              <w:spacing w:after="0" w:line="245" w:lineRule="auto"/>
            </w:pPr>
            <w:r>
              <w:rPr>
                <w:rFonts w:ascii="Arial" w:hAnsi="Arial"/>
                <w:color w:val="000000"/>
                <w:sz w:val="16"/>
              </w:rPr>
              <w:t>src/worker</w:t>
            </w:r>
          </w:p>
        </w:tc>
        <w:tc>
          <w:tcPr>
            <w:tcW w:type="dxa" w:w="6840"/>
            <w:tcMar>
              <w:top w:w="90" w:type="dxa"/>
              <w:start w:w="110" w:type="dxa"/>
              <w:bottom w:w="90" w:type="dxa"/>
              <w:end w:w="110" w:type="dxa"/>
            </w:tcMar>
            <w:vAlign w:val="top"/>
          </w:tcPr>
          <w:p>
            <w:pPr>
              <w:spacing w:after="0" w:line="245" w:lineRule="auto"/>
            </w:pPr>
            <w:r>
              <w:rPr>
                <w:rFonts w:ascii="Arial" w:hAnsi="Arial"/>
                <w:color w:val="000000"/>
                <w:sz w:val="16"/>
              </w:rPr>
              <w:t>Dedicated background worker entry point</w:t>
            </w:r>
          </w:p>
        </w:tc>
      </w:tr>
      <w:tr>
        <w:tc>
          <w:tcPr>
            <w:tcW w:type="dxa" w:w="2880"/>
            <w:tcMar>
              <w:top w:w="90" w:type="dxa"/>
              <w:start w:w="110" w:type="dxa"/>
              <w:bottom w:w="90" w:type="dxa"/>
              <w:end w:w="110" w:type="dxa"/>
            </w:tcMar>
            <w:vAlign w:val="top"/>
            <w:shd w:fill="F7F9FB"/>
          </w:tcPr>
          <w:p>
            <w:pPr>
              <w:spacing w:after="0" w:line="245" w:lineRule="auto"/>
            </w:pPr>
            <w:r>
              <w:rPr>
                <w:rFonts w:ascii="Arial" w:hAnsi="Arial"/>
                <w:color w:val="000000"/>
                <w:sz w:val="16"/>
              </w:rPr>
              <w:t>tests</w:t>
            </w:r>
          </w:p>
        </w:tc>
        <w:tc>
          <w:tcPr>
            <w:tcW w:type="dxa" w:w="6840"/>
            <w:tcMar>
              <w:top w:w="90" w:type="dxa"/>
              <w:start w:w="110" w:type="dxa"/>
              <w:bottom w:w="90" w:type="dxa"/>
              <w:end w:w="110" w:type="dxa"/>
            </w:tcMar>
            <w:vAlign w:val="top"/>
            <w:shd w:fill="F7F9FB"/>
          </w:tcPr>
          <w:p>
            <w:pPr>
              <w:spacing w:after="0" w:line="245" w:lineRule="auto"/>
            </w:pPr>
            <w:r>
              <w:rPr>
                <w:rFonts w:ascii="Arial" w:hAnsi="Arial"/>
                <w:color w:val="000000"/>
                <w:sz w:val="16"/>
              </w:rPr>
              <w:t>Unit, production-contract and real-PostgreSQL integration tests</w:t>
            </w:r>
          </w:p>
        </w:tc>
      </w:tr>
      <w:tr>
        <w:tc>
          <w:tcPr>
            <w:tcW w:type="dxa" w:w="2880"/>
            <w:tcMar>
              <w:top w:w="90" w:type="dxa"/>
              <w:start w:w="110" w:type="dxa"/>
              <w:bottom w:w="90" w:type="dxa"/>
              <w:end w:w="110" w:type="dxa"/>
            </w:tcMar>
            <w:vAlign w:val="top"/>
          </w:tcPr>
          <w:p>
            <w:pPr>
              <w:spacing w:after="0" w:line="245" w:lineRule="auto"/>
            </w:pPr>
            <w:r>
              <w:rPr>
                <w:rFonts w:ascii="Arial" w:hAnsi="Arial"/>
                <w:color w:val="000000"/>
                <w:sz w:val="16"/>
              </w:rPr>
              <w:t>compose.yaml / Caddyfile</w:t>
            </w:r>
          </w:p>
        </w:tc>
        <w:tc>
          <w:tcPr>
            <w:tcW w:type="dxa" w:w="6840"/>
            <w:tcMar>
              <w:top w:w="90" w:type="dxa"/>
              <w:start w:w="110" w:type="dxa"/>
              <w:bottom w:w="90" w:type="dxa"/>
              <w:end w:w="110" w:type="dxa"/>
            </w:tcMar>
            <w:vAlign w:val="top"/>
          </w:tcPr>
          <w:p>
            <w:pPr>
              <w:spacing w:after="0" w:line="245" w:lineRule="auto"/>
            </w:pPr>
            <w:r>
              <w:rPr>
                <w:rFonts w:ascii="Arial" w:hAnsi="Arial"/>
                <w:color w:val="000000"/>
                <w:sz w:val="16"/>
              </w:rPr>
              <w:t>Production service topology and TLS ingress</w:t>
            </w:r>
          </w:p>
        </w:tc>
      </w:tr>
    </w:tbl>
    <w:p>
      <w:pPr>
        <w:spacing w:after="0"/>
      </w:pPr>
    </w:p>
    <w:p>
      <w:pPr>
        <w:pStyle w:val="Heading2"/>
        <w:keepNext/>
        <w:spacing w:before="100" w:after="80"/>
      </w:pPr>
      <w:r>
        <w:rPr>
          <w:rFonts w:ascii="Arial" w:hAnsi="Arial"/>
          <w:b/>
          <w:color w:val="000000"/>
          <w:sz w:val="23"/>
        </w:rPr>
        <w:t>Authentication and roles</w:t>
      </w:r>
    </w:p>
    <w:p>
      <w:pPr>
        <w:pStyle w:val="ListBullet"/>
        <w:spacing w:after="46" w:line="252" w:lineRule="auto"/>
        <w:ind w:left="317" w:hanging="230"/>
      </w:pPr>
      <w:r>
        <w:rPr>
          <w:rFonts w:ascii="Arial" w:hAnsi="Arial"/>
          <w:color w:val="000000"/>
          <w:sz w:val="18"/>
        </w:rPr>
        <w:t>Passwords are bcrypt-hashed. A server session cookie is HTTP-only; logout revokes the stored session.</w:t>
      </w:r>
    </w:p>
    <w:p>
      <w:pPr>
        <w:pStyle w:val="ListBullet"/>
        <w:spacing w:after="46" w:line="252" w:lineRule="auto"/>
        <w:ind w:left="317" w:hanging="230"/>
      </w:pPr>
      <w:r>
        <w:rPr>
          <w:rFonts w:ascii="Arial" w:hAnsi="Arial"/>
          <w:color w:val="000000"/>
          <w:sz w:val="18"/>
        </w:rPr>
        <w:t>Owner: all tenant leads, dashboard, users, settings and integration configuration.</w:t>
      </w:r>
    </w:p>
    <w:p>
      <w:pPr>
        <w:pStyle w:val="ListBullet"/>
        <w:spacing w:after="46" w:line="252" w:lineRule="auto"/>
        <w:ind w:left="317" w:hanging="230"/>
      </w:pPr>
      <w:r>
        <w:rPr>
          <w:rFonts w:ascii="Arial" w:hAnsi="Arial"/>
          <w:color w:val="000000"/>
          <w:sz w:val="18"/>
        </w:rPr>
        <w:t>Salesperson: assigned leads and personal work/metrics only.</w:t>
      </w:r>
    </w:p>
    <w:p>
      <w:pPr>
        <w:pStyle w:val="ListBullet"/>
        <w:spacing w:after="46" w:line="252" w:lineRule="auto"/>
        <w:ind w:left="317" w:hanging="230"/>
      </w:pPr>
      <w:r>
        <w:rPr>
          <w:rFonts w:ascii="Arial" w:hAnsi="Arial"/>
          <w:color w:val="000000"/>
          <w:sz w:val="18"/>
        </w:rPr>
        <w:t>Agency: read-only dashboard and leads; database policy prevents writes.</w:t>
      </w:r>
    </w:p>
    <w:p>
      <w:pPr>
        <w:pStyle w:val="ListBullet"/>
        <w:spacing w:after="46" w:line="252" w:lineRule="auto"/>
        <w:ind w:left="317" w:hanging="230"/>
      </w:pPr>
      <w:r>
        <w:rPr>
          <w:rFonts w:ascii="Arial" w:hAnsi="Arial"/>
          <w:color w:val="000000"/>
          <w:sz w:val="18"/>
        </w:rPr>
        <w:t>Emergency owner reset is provided by the owner:reset-password CLI and was exercised end to end.</w:t>
      </w:r>
    </w:p>
    <w:p>
      <w:pPr>
        <w:pStyle w:val="Heading2"/>
        <w:keepNext/>
        <w:spacing w:before="100" w:after="80"/>
      </w:pPr>
      <w:r>
        <w:rPr>
          <w:rFonts w:ascii="Arial" w:hAnsi="Arial"/>
          <w:b/>
          <w:color w:val="000000"/>
          <w:sz w:val="23"/>
        </w:rPr>
        <w:t>Data guarantees</w:t>
      </w:r>
    </w:p>
    <w:p>
      <w:pPr>
        <w:pStyle w:val="ListBullet"/>
        <w:spacing w:after="46" w:line="252" w:lineRule="auto"/>
        <w:ind w:left="317" w:hanging="230"/>
      </w:pPr>
      <w:r>
        <w:rPr>
          <w:rFonts w:ascii="Arial" w:hAnsi="Arial"/>
          <w:color w:val="000000"/>
          <w:sz w:val="18"/>
        </w:rPr>
        <w:t>Every application table has non-null tenant_id, forced RLS and at least one policy; db:verify enforces this catalog rule.</w:t>
      </w:r>
    </w:p>
    <w:p>
      <w:pPr>
        <w:pStyle w:val="ListBullet"/>
        <w:spacing w:after="46" w:line="252" w:lineRule="auto"/>
        <w:ind w:left="317" w:hanging="230"/>
      </w:pPr>
      <w:r>
        <w:rPr>
          <w:rFonts w:ascii="Arial" w:hAnsi="Arial"/>
          <w:color w:val="000000"/>
          <w:sz w:val="18"/>
        </w:rPr>
        <w:t>attempts, attempt_events and lead_events are append-only.</w:t>
      </w:r>
    </w:p>
    <w:p>
      <w:pPr>
        <w:pStyle w:val="ListBullet"/>
        <w:spacing w:after="46" w:line="252" w:lineRule="auto"/>
        <w:ind w:left="317" w:hanging="230"/>
      </w:pPr>
      <w:r>
        <w:rPr>
          <w:rFonts w:ascii="Arial" w:hAnsi="Arial"/>
          <w:color w:val="000000"/>
          <w:sz w:val="18"/>
        </w:rPr>
        <w:t>Leads pin the relevant SLA/store-hours policy so later configuration cannot rewrite the original measurement context.</w:t>
      </w:r>
    </w:p>
    <w:p>
      <w:pPr>
        <w:pStyle w:val="ListBullet"/>
        <w:spacing w:after="46" w:line="252" w:lineRule="auto"/>
        <w:ind w:left="317" w:hanging="230"/>
      </w:pPr>
      <w:r>
        <w:rPr>
          <w:rFonts w:ascii="Arial" w:hAnsi="Arial"/>
          <w:color w:val="000000"/>
          <w:sz w:val="18"/>
        </w:rPr>
        <w:t>Follow-ups snapshot assigned_to; only pending rows move on reassignment. Done/missed work stays with the responsible salesperson.</w:t>
      </w:r>
    </w:p>
    <w:p>
      <w:r>
        <w:br w:type="page"/>
      </w:r>
    </w:p>
    <w:p>
      <w:pPr>
        <w:pStyle w:val="Heading1"/>
        <w:keepNext/>
        <w:spacing w:before="160" w:after="80"/>
      </w:pPr>
      <w:r>
        <w:rPr>
          <w:rFonts w:ascii="Arial" w:hAnsi="Arial"/>
          <w:b/>
          <w:color w:val="000000"/>
          <w:sz w:val="30"/>
        </w:rPr>
        <w:t>3. Product workflow and business rules</w:t>
      </w:r>
    </w:p>
    <w:p>
      <w:pPr>
        <w:pStyle w:val="Heading2"/>
        <w:keepNext/>
        <w:spacing w:before="100" w:after="80"/>
      </w:pPr>
      <w:r>
        <w:rPr>
          <w:rFonts w:ascii="Arial" w:hAnsi="Arial"/>
          <w:b/>
          <w:color w:val="000000"/>
          <w:sz w:val="23"/>
        </w:rPr>
        <w:t>Lead stages</w:t>
      </w:r>
    </w:p>
    <w:p>
      <w:pPr>
        <w:spacing w:after="80" w:line="259" w:lineRule="auto"/>
      </w:pPr>
      <w:r>
        <w:rPr>
          <w:rFonts w:ascii="Arial" w:hAnsi="Arial"/>
          <w:color w:val="000000"/>
          <w:sz w:val="18"/>
        </w:rPr>
        <w:t>The canonical stage list is: new, contacted, follow_up, dormant, won, dead and bad. Closed means won, dead or bad.</w:t>
      </w:r>
    </w:p>
    <w:p>
      <w:pPr>
        <w:pStyle w:val="Heading2"/>
        <w:keepNext/>
        <w:spacing w:before="100" w:after="80"/>
      </w:pPr>
      <w:r>
        <w:rPr>
          <w:rFonts w:ascii="Arial" w:hAnsi="Arial"/>
          <w:b/>
          <w:color w:val="000000"/>
          <w:sz w:val="23"/>
        </w:rPr>
        <w:t>Assignment and repeat enquiry</w:t>
      </w:r>
    </w:p>
    <w:p>
      <w:pPr>
        <w:pStyle w:val="ListBullet"/>
        <w:spacing w:after="46" w:line="252" w:lineRule="auto"/>
        <w:ind w:left="317" w:hanging="230"/>
      </w:pPr>
      <w:r>
        <w:rPr>
          <w:rFonts w:ascii="Arial" w:hAnsi="Arial"/>
          <w:color w:val="000000"/>
          <w:sz w:val="18"/>
        </w:rPr>
        <w:t>Round-robin alternates across active salespeople, skips disabled users and falls back to the owner when nobody is active.</w:t>
      </w:r>
    </w:p>
    <w:p>
      <w:pPr>
        <w:pStyle w:val="ListBullet"/>
        <w:spacing w:after="46" w:line="252" w:lineRule="auto"/>
        <w:ind w:left="317" w:hanging="230"/>
      </w:pPr>
      <w:r>
        <w:rPr>
          <w:rFonts w:ascii="Arial" w:hAnsi="Arial"/>
          <w:color w:val="000000"/>
          <w:sz w:val="18"/>
        </w:rPr>
        <w:t>Reassignment moves pending follow-ups only; historical done/missed rows retain their original assigned_to.</w:t>
      </w:r>
    </w:p>
    <w:p>
      <w:pPr>
        <w:pStyle w:val="ListBullet"/>
        <w:spacing w:after="46" w:line="252" w:lineRule="auto"/>
        <w:ind w:left="317" w:hanging="230"/>
      </w:pPr>
      <w:r>
        <w:rPr>
          <w:rFonts w:ascii="Arial" w:hAnsi="Arial"/>
          <w:color w:val="000000"/>
          <w:sz w:val="18"/>
        </w:rPr>
        <w:t>A repeat enquiry reactivates a dormant lead, logs an event for an open lead, and creates a new lead when the previous lead is closed.</w:t>
      </w:r>
    </w:p>
    <w:p>
      <w:pPr>
        <w:pStyle w:val="Heading2"/>
        <w:keepNext/>
        <w:spacing w:before="100" w:after="80"/>
      </w:pPr>
      <w:r>
        <w:rPr>
          <w:rFonts w:ascii="Arial" w:hAnsi="Arial"/>
          <w:b/>
          <w:color w:val="000000"/>
          <w:sz w:val="23"/>
        </w:rPr>
        <w:t>First response and Today queue</w:t>
      </w:r>
    </w:p>
    <w:p>
      <w:pPr>
        <w:pStyle w:val="ListBullet"/>
        <w:spacing w:after="46" w:line="252" w:lineRule="auto"/>
        <w:ind w:left="317" w:hanging="230"/>
      </w:pPr>
      <w:r>
        <w:rPr>
          <w:rFonts w:ascii="Arial" w:hAnsi="Arial"/>
          <w:color w:val="000000"/>
          <w:sz w:val="18"/>
        </w:rPr>
        <w:t>The queue has Untouched, Follow-ups due and Active sections, with 30-second refresh, alert counters, sound and a tap-to-enable control.</w:t>
      </w:r>
    </w:p>
    <w:p>
      <w:pPr>
        <w:pStyle w:val="ListBullet"/>
        <w:spacing w:after="46" w:line="252" w:lineRule="auto"/>
        <w:ind w:left="317" w:hanging="230"/>
      </w:pPr>
      <w:r>
        <w:rPr>
          <w:rFonts w:ascii="Arial" w:hAnsi="Arial"/>
          <w:color w:val="000000"/>
          <w:sz w:val="18"/>
        </w:rPr>
        <w:t>Call and WhatsApp use real anchor links. The attempt is sent through sendBeacon/keepalive without delaying link opening.</w:t>
      </w:r>
    </w:p>
    <w:p>
      <w:pPr>
        <w:pStyle w:val="ListBullet"/>
        <w:spacing w:after="46" w:line="252" w:lineRule="auto"/>
        <w:ind w:left="317" w:hanging="230"/>
      </w:pPr>
      <w:r>
        <w:rPr>
          <w:rFonts w:ascii="Arial" w:hAnsi="Arial"/>
          <w:color w:val="000000"/>
          <w:sz w:val="18"/>
        </w:rPr>
        <w:t>First response is computed only inside configured store hours. Example verified: 21:30 arrival, next-day 10:40 tap, 10:30-20:30 schedule equals 10 minutes.</w:t>
      </w:r>
    </w:p>
    <w:p>
      <w:pPr>
        <w:pStyle w:val="ListBullet"/>
        <w:spacing w:after="46" w:line="252" w:lineRule="auto"/>
        <w:ind w:left="317" w:hanging="230"/>
      </w:pPr>
      <w:r>
        <w:rPr>
          <w:rFonts w:ascii="Arial" w:hAnsi="Arial"/>
          <w:color w:val="000000"/>
          <w:sz w:val="18"/>
        </w:rPr>
        <w:t>A first-touch quick note is always visible. Client timestamps never drive response metrics.</w:t>
      </w:r>
    </w:p>
    <w:p>
      <w:pPr>
        <w:pStyle w:val="Heading2"/>
        <w:keepNext/>
        <w:spacing w:before="100" w:after="80"/>
      </w:pPr>
      <w:r>
        <w:rPr>
          <w:rFonts w:ascii="Arial" w:hAnsi="Arial"/>
          <w:b/>
          <w:color w:val="000000"/>
          <w:sz w:val="23"/>
        </w:rPr>
        <w:t>Follow-up cadence</w:t>
      </w:r>
    </w:p>
    <w:p>
      <w:pPr>
        <w:pStyle w:val="ListBullet"/>
        <w:spacing w:after="46" w:line="252" w:lineRule="auto"/>
        <w:ind w:left="317" w:hanging="230"/>
      </w:pPr>
      <w:r>
        <w:rPr>
          <w:rFonts w:ascii="Arial" w:hAnsi="Arial"/>
          <w:color w:val="000000"/>
          <w:sz w:val="18"/>
        </w:rPr>
        <w:t>Four business days by default, configurable by the owner.</w:t>
      </w:r>
    </w:p>
    <w:p>
      <w:pPr>
        <w:pStyle w:val="ListBullet"/>
        <w:spacing w:after="46" w:line="252" w:lineRule="auto"/>
        <w:ind w:left="317" w:hanging="230"/>
      </w:pPr>
      <w:r>
        <w:rPr>
          <w:rFonts w:ascii="Arial" w:hAnsi="Arial"/>
          <w:color w:val="000000"/>
          <w:sz w:val="18"/>
        </w:rPr>
        <w:t>Yes and No require a note of at least 10 characters; Yes also requires a same-day Call or WhatsApp attempt.</w:t>
      </w:r>
    </w:p>
    <w:p>
      <w:pPr>
        <w:pStyle w:val="ListBullet"/>
        <w:spacing w:after="46" w:line="252" w:lineRule="auto"/>
        <w:ind w:left="317" w:hanging="230"/>
      </w:pPr>
      <w:r>
        <w:rPr>
          <w:rFonts w:ascii="Arial" w:hAnsi="Arial"/>
          <w:color w:val="000000"/>
          <w:sz w:val="18"/>
        </w:rPr>
        <w:t>Unanswered items become missed at store close. A miss does not stop later cadence. Unclosed leads become dormant after day four.</w:t>
      </w:r>
    </w:p>
    <w:p>
      <w:pPr>
        <w:pStyle w:val="ListBullet"/>
        <w:spacing w:after="46" w:line="252" w:lineRule="auto"/>
        <w:ind w:left="317" w:hanging="230"/>
      </w:pPr>
      <w:r>
        <w:rPr>
          <w:rFonts w:ascii="Arial" w:hAnsi="Arial"/>
          <w:color w:val="000000"/>
          <w:sz w:val="18"/>
        </w:rPr>
        <w:t>Closing a lead cancels pending follow-ups; cancelled rows are excluded from follow-up performance metrics.</w:t>
      </w:r>
    </w:p>
    <w:p>
      <w:pPr>
        <w:pStyle w:val="Heading2"/>
        <w:keepNext/>
        <w:spacing w:before="100" w:after="80"/>
      </w:pPr>
      <w:r>
        <w:rPr>
          <w:rFonts w:ascii="Arial" w:hAnsi="Arial"/>
          <w:b/>
          <w:color w:val="000000"/>
          <w:sz w:val="23"/>
        </w:rPr>
        <w:t>Outcomes and the single close gate</w:t>
      </w:r>
    </w:p>
    <w:tbl>
      <w:tblPr>
        <w:tblW w:type="auto" w:w="0"/>
        <w:jc w:val="center"/>
        <w:tblLayout w:type="fixed"/>
        <w:tblLook w:firstColumn="1" w:firstRow="1" w:lastColumn="0" w:lastRow="0" w:noHBand="0" w:noVBand="1" w:val="04A0"/>
        <w:tblBorders>
          <w:top w:val="single" w:sz="6" w:color="CBD3DC"/>
          <w:left w:val="single" w:sz="6" w:color="CBD3DC"/>
          <w:bottom w:val="single" w:sz="6" w:color="CBD3DC"/>
          <w:right w:val="single" w:sz="6" w:color="CBD3DC"/>
          <w:insideH w:val="single" w:sz="6" w:color="CBD3DC"/>
          <w:insideV w:val="single" w:sz="6" w:color="CBD3DC"/>
        </w:tblBorders>
      </w:tblPr>
      <w:tblGrid>
        <w:gridCol w:w="3331"/>
        <w:gridCol w:w="3331"/>
        <w:gridCol w:w="3331"/>
      </w:tblGrid>
      <w:tr>
        <w:trPr>
          <w:tblHeader w:val="true"/>
        </w:trPr>
        <w:tc>
          <w:tcPr>
            <w:tcW w:type="dxa" w:w="1080"/>
            <w:shd w:fill="253A5C"/>
            <w:tcMar>
              <w:top w:w="90" w:type="dxa"/>
              <w:start w:w="110" w:type="dxa"/>
              <w:bottom w:w="90" w:type="dxa"/>
              <w:end w:w="110" w:type="dxa"/>
            </w:tcMar>
            <w:vAlign w:val="center"/>
          </w:tcPr>
          <w:p>
            <w:pPr>
              <w:spacing w:after="0"/>
            </w:pPr>
            <w:r>
              <w:rPr>
                <w:rFonts w:ascii="Arial" w:hAnsi="Arial"/>
                <w:b/>
                <w:color w:val="FFFFFF"/>
                <w:sz w:val="16"/>
              </w:rPr>
              <w:t>Outcome</w:t>
            </w:r>
          </w:p>
        </w:tc>
        <w:tc>
          <w:tcPr>
            <w:tcW w:type="dxa" w:w="4536"/>
            <w:shd w:fill="253A5C"/>
            <w:tcMar>
              <w:top w:w="90" w:type="dxa"/>
              <w:start w:w="110" w:type="dxa"/>
              <w:bottom w:w="90" w:type="dxa"/>
              <w:end w:w="110" w:type="dxa"/>
            </w:tcMar>
            <w:vAlign w:val="center"/>
          </w:tcPr>
          <w:p>
            <w:pPr>
              <w:spacing w:after="0"/>
            </w:pPr>
            <w:r>
              <w:rPr>
                <w:rFonts w:ascii="Arial" w:hAnsi="Arial"/>
                <w:b/>
                <w:color w:val="FFFFFF"/>
                <w:sz w:val="16"/>
              </w:rPr>
              <w:t>Canonical reasons</w:t>
            </w:r>
          </w:p>
        </w:tc>
        <w:tc>
          <w:tcPr>
            <w:tcW w:type="dxa" w:w="4104"/>
            <w:shd w:fill="253A5C"/>
            <w:tcMar>
              <w:top w:w="90" w:type="dxa"/>
              <w:start w:w="110" w:type="dxa"/>
              <w:bottom w:w="90" w:type="dxa"/>
              <w:end w:w="110" w:type="dxa"/>
            </w:tcMar>
            <w:vAlign w:val="center"/>
          </w:tcPr>
          <w:p>
            <w:pPr>
              <w:spacing w:after="0"/>
            </w:pPr>
            <w:r>
              <w:rPr>
                <w:rFonts w:ascii="Arial" w:hAnsi="Arial"/>
                <w:b/>
                <w:color w:val="FFFFFF"/>
                <w:sz w:val="16"/>
              </w:rPr>
              <w:t>Requirement</w:t>
            </w:r>
          </w:p>
        </w:tc>
      </w:tr>
      <w:tr>
        <w:tc>
          <w:tcPr>
            <w:tcW w:type="dxa" w:w="1080"/>
            <w:tcMar>
              <w:top w:w="90" w:type="dxa"/>
              <w:start w:w="110" w:type="dxa"/>
              <w:bottom w:w="90" w:type="dxa"/>
              <w:end w:w="110" w:type="dxa"/>
            </w:tcMar>
            <w:vAlign w:val="top"/>
          </w:tcPr>
          <w:p>
            <w:pPr>
              <w:spacing w:after="0" w:line="245" w:lineRule="auto"/>
            </w:pPr>
            <w:r>
              <w:rPr>
                <w:rFonts w:ascii="Arial" w:hAnsi="Arial"/>
                <w:color w:val="000000"/>
                <w:sz w:val="16"/>
              </w:rPr>
              <w:t>Won</w:t>
            </w:r>
          </w:p>
        </w:tc>
        <w:tc>
          <w:tcPr>
            <w:tcW w:type="dxa" w:w="4536"/>
            <w:tcMar>
              <w:top w:w="90" w:type="dxa"/>
              <w:start w:w="110" w:type="dxa"/>
              <w:bottom w:w="90" w:type="dxa"/>
              <w:end w:w="110" w:type="dxa"/>
            </w:tcMar>
            <w:vAlign w:val="top"/>
          </w:tcPr>
          <w:p>
            <w:pPr>
              <w:spacing w:after="0" w:line="245" w:lineRule="auto"/>
            </w:pPr>
            <w:r>
              <w:rPr>
                <w:rFonts w:ascii="Arial" w:hAnsi="Arial"/>
                <w:color w:val="000000"/>
                <w:sz w:val="16"/>
              </w:rPr>
              <w:t>No reason; order value required</w:t>
            </w:r>
          </w:p>
        </w:tc>
        <w:tc>
          <w:tcPr>
            <w:tcW w:type="dxa" w:w="4104"/>
            <w:tcMar>
              <w:top w:w="90" w:type="dxa"/>
              <w:start w:w="110" w:type="dxa"/>
              <w:bottom w:w="90" w:type="dxa"/>
              <w:end w:w="110" w:type="dxa"/>
            </w:tcMar>
            <w:vAlign w:val="top"/>
          </w:tcPr>
          <w:p>
            <w:pPr>
              <w:spacing w:after="0" w:line="245" w:lineRule="auto"/>
            </w:pPr>
            <w:r>
              <w:rPr>
                <w:rFonts w:ascii="Arial" w:hAnsi="Arial"/>
                <w:color w:val="000000"/>
                <w:sz w:val="16"/>
              </w:rPr>
              <w:t>No attempt gate</w:t>
            </w:r>
          </w:p>
        </w:tc>
      </w:tr>
      <w:tr>
        <w:tc>
          <w:tcPr>
            <w:tcW w:type="dxa" w:w="1080"/>
            <w:tcMar>
              <w:top w:w="90" w:type="dxa"/>
              <w:start w:w="110" w:type="dxa"/>
              <w:bottom w:w="90" w:type="dxa"/>
              <w:end w:w="110" w:type="dxa"/>
            </w:tcMar>
            <w:vAlign w:val="top"/>
            <w:shd w:fill="F7F9FB"/>
          </w:tcPr>
          <w:p>
            <w:pPr>
              <w:spacing w:after="0" w:line="245" w:lineRule="auto"/>
            </w:pPr>
            <w:r>
              <w:rPr>
                <w:rFonts w:ascii="Arial" w:hAnsi="Arial"/>
                <w:color w:val="000000"/>
                <w:sz w:val="16"/>
              </w:rPr>
              <w:t>Dead</w:t>
            </w:r>
          </w:p>
        </w:tc>
        <w:tc>
          <w:tcPr>
            <w:tcW w:type="dxa" w:w="4536"/>
            <w:tcMar>
              <w:top w:w="90" w:type="dxa"/>
              <w:start w:w="110" w:type="dxa"/>
              <w:bottom w:w="90" w:type="dxa"/>
              <w:end w:w="110" w:type="dxa"/>
            </w:tcMar>
            <w:vAlign w:val="top"/>
            <w:shd w:fill="F7F9FB"/>
          </w:tcPr>
          <w:p>
            <w:pPr>
              <w:spacing w:after="0" w:line="245" w:lineRule="auto"/>
            </w:pPr>
            <w:r>
              <w:rPr>
                <w:rFonts w:ascii="Arial" w:hAnsi="Arial"/>
                <w:color w:val="000000"/>
                <w:sz w:val="16"/>
              </w:rPr>
              <w:t>not_interested, bought_elsewhere, price_too_high, other</w:t>
            </w:r>
          </w:p>
        </w:tc>
        <w:tc>
          <w:tcPr>
            <w:tcW w:type="dxa" w:w="4104"/>
            <w:tcMar>
              <w:top w:w="90" w:type="dxa"/>
              <w:start w:w="110" w:type="dxa"/>
              <w:bottom w:w="90" w:type="dxa"/>
              <w:end w:w="110" w:type="dxa"/>
            </w:tcMar>
            <w:vAlign w:val="top"/>
            <w:shd w:fill="F7F9FB"/>
          </w:tcPr>
          <w:p>
            <w:pPr>
              <w:spacing w:after="0" w:line="245" w:lineRule="auto"/>
            </w:pPr>
            <w:r>
              <w:rPr>
                <w:rFonts w:ascii="Arial" w:hAnsi="Arial"/>
                <w:color w:val="000000"/>
                <w:sz w:val="16"/>
              </w:rPr>
              <w:t>not_interested requires 2 attempts on 2 distinct IST dates; other requires a note</w:t>
            </w:r>
          </w:p>
        </w:tc>
      </w:tr>
      <w:tr>
        <w:tc>
          <w:tcPr>
            <w:tcW w:type="dxa" w:w="1080"/>
            <w:tcMar>
              <w:top w:w="90" w:type="dxa"/>
              <w:start w:w="110" w:type="dxa"/>
              <w:bottom w:w="90" w:type="dxa"/>
              <w:end w:w="110" w:type="dxa"/>
            </w:tcMar>
            <w:vAlign w:val="top"/>
          </w:tcPr>
          <w:p>
            <w:pPr>
              <w:spacing w:after="0" w:line="245" w:lineRule="auto"/>
            </w:pPr>
            <w:r>
              <w:rPr>
                <w:rFonts w:ascii="Arial" w:hAnsi="Arial"/>
                <w:color w:val="000000"/>
                <w:sz w:val="16"/>
              </w:rPr>
              <w:t>Bad</w:t>
            </w:r>
          </w:p>
        </w:tc>
        <w:tc>
          <w:tcPr>
            <w:tcW w:type="dxa" w:w="4536"/>
            <w:tcMar>
              <w:top w:w="90" w:type="dxa"/>
              <w:start w:w="110" w:type="dxa"/>
              <w:bottom w:w="90" w:type="dxa"/>
              <w:end w:w="110" w:type="dxa"/>
            </w:tcMar>
            <w:vAlign w:val="top"/>
          </w:tcPr>
          <w:p>
            <w:pPr>
              <w:spacing w:after="0" w:line="245" w:lineRule="auto"/>
            </w:pPr>
            <w:r>
              <w:rPr>
                <w:rFonts w:ascii="Arial" w:hAnsi="Arial"/>
                <w:color w:val="000000"/>
                <w:sz w:val="16"/>
              </w:rPr>
              <w:t>spam, wrong_number, not_reachable, fake_enquiry</w:t>
            </w:r>
          </w:p>
        </w:tc>
        <w:tc>
          <w:tcPr>
            <w:tcW w:type="dxa" w:w="4104"/>
            <w:tcMar>
              <w:top w:w="90" w:type="dxa"/>
              <w:start w:w="110" w:type="dxa"/>
              <w:bottom w:w="90" w:type="dxa"/>
              <w:end w:w="110" w:type="dxa"/>
            </w:tcMar>
            <w:vAlign w:val="top"/>
          </w:tcPr>
          <w:p>
            <w:pPr>
              <w:spacing w:after="0" w:line="245" w:lineRule="auto"/>
            </w:pPr>
            <w:r>
              <w:rPr>
                <w:rFonts w:ascii="Arial" w:hAnsi="Arial"/>
                <w:color w:val="000000"/>
                <w:sz w:val="16"/>
              </w:rPr>
              <w:t>spam and not_reachable require 2 attempts on 2 distinct IST dates</w:t>
            </w:r>
          </w:p>
        </w:tc>
      </w:tr>
    </w:tbl>
    <w:p>
      <w:pPr>
        <w:spacing w:after="0"/>
      </w:pPr>
    </w:p>
    <w:p>
      <w:pPr>
        <w:spacing w:after="80" w:line="259" w:lineRule="auto"/>
      </w:pPr>
      <w:r>
        <w:rPr>
          <w:rFonts w:ascii="Arial" w:hAnsi="Arial"/>
          <w:color w:val="000000"/>
          <w:sz w:val="18"/>
        </w:rPr>
        <w:t>No legacy three-attempt/WhatsApp gate remains. Database migration 0006 maps existing non-canonical values to a safe canonical state and installs the single authoritative gate function.</w:t>
      </w:r>
    </w:p>
    <w:p>
      <w:r>
        <w:br w:type="page"/>
      </w:r>
    </w:p>
    <w:p>
      <w:pPr>
        <w:pStyle w:val="Heading1"/>
        <w:keepNext/>
        <w:spacing w:before="160" w:after="80"/>
      </w:pPr>
      <w:r>
        <w:rPr>
          <w:rFonts w:ascii="Arial" w:hAnsi="Arial"/>
          <w:b/>
          <w:color w:val="000000"/>
          <w:sz w:val="30"/>
        </w:rPr>
        <w:t>4. Intake integrations</w:t>
      </w:r>
    </w:p>
    <w:p>
      <w:pPr>
        <w:pStyle w:val="Heading2"/>
        <w:keepNext/>
        <w:spacing w:before="100" w:after="80"/>
      </w:pPr>
      <w:r>
        <w:rPr>
          <w:rFonts w:ascii="Arial" w:hAnsi="Arial"/>
          <w:b/>
          <w:color w:val="000000"/>
          <w:sz w:val="23"/>
        </w:rPr>
        <w:t>Google Sheets</w:t>
      </w:r>
    </w:p>
    <w:p>
      <w:pPr>
        <w:pStyle w:val="ListBullet"/>
        <w:spacing w:after="46" w:line="252" w:lineRule="auto"/>
        <w:ind w:left="317" w:hanging="230"/>
      </w:pPr>
      <w:r>
        <w:rPr>
          <w:rFonts w:ascii="Arial" w:hAnsi="Arial"/>
          <w:color w:val="000000"/>
          <w:sz w:val="18"/>
        </w:rPr>
        <w:t>Server-side service account with Viewer access; the application never writes to the sheet.</w:t>
      </w:r>
    </w:p>
    <w:p>
      <w:pPr>
        <w:pStyle w:val="ListBullet"/>
        <w:spacing w:after="46" w:line="252" w:lineRule="auto"/>
        <w:ind w:left="317" w:hanging="230"/>
      </w:pPr>
      <w:r>
        <w:rPr>
          <w:rFonts w:ascii="Arial" w:hAnsi="Arial"/>
          <w:color w:val="000000"/>
          <w:sz w:val="18"/>
        </w:rPr>
        <w:t>Configurable Sheet ID/URL, tab, header row, import cutoff and field mapping.</w:t>
      </w:r>
    </w:p>
    <w:p>
      <w:pPr>
        <w:pStyle w:val="ListBullet"/>
        <w:spacing w:after="46" w:line="252" w:lineRule="auto"/>
        <w:ind w:left="317" w:hanging="230"/>
      </w:pPr>
      <w:r>
        <w:rPr>
          <w:rFonts w:ascii="Arial" w:hAnsi="Arial"/>
          <w:color w:val="000000"/>
          <w:sz w:val="18"/>
        </w:rPr>
        <w:t>Supported source columns include external_id, meta_lead_id, created_at, name, phone, email, city, campaign and ad.</w:t>
      </w:r>
    </w:p>
    <w:p>
      <w:pPr>
        <w:pStyle w:val="ListBullet"/>
        <w:spacing w:after="46" w:line="252" w:lineRule="auto"/>
        <w:ind w:left="317" w:hanging="230"/>
      </w:pPr>
      <w:r>
        <w:rPr>
          <w:rFonts w:ascii="Arial" w:hAnsi="Arial"/>
          <w:color w:val="000000"/>
          <w:sz w:val="18"/>
        </w:rPr>
        <w:t>Day-first Indian dates are accepted. Rows older than the cutoff are skipped and counted. The previous 5,000-row limit is removed.</w:t>
      </w:r>
    </w:p>
    <w:p>
      <w:pPr>
        <w:pStyle w:val="ListBullet"/>
        <w:spacing w:after="46" w:line="252" w:lineRule="auto"/>
        <w:ind w:left="317" w:hanging="230"/>
      </w:pPr>
      <w:r>
        <w:rPr>
          <w:rFonts w:ascii="Arial" w:hAnsi="Arial"/>
          <w:color w:val="000000"/>
          <w:sz w:val="18"/>
        </w:rPr>
        <w:t>Default incremental poll is one minute, with a periodic full edit check.</w:t>
      </w:r>
    </w:p>
    <w:p>
      <w:pPr>
        <w:pStyle w:val="Heading2"/>
        <w:keepNext/>
        <w:spacing w:before="100" w:after="80"/>
      </w:pPr>
      <w:r>
        <w:rPr>
          <w:rFonts w:ascii="Arial" w:hAnsi="Arial"/>
          <w:b/>
          <w:color w:val="000000"/>
          <w:sz w:val="23"/>
        </w:rPr>
        <w:t>Meta Lead Ads</w:t>
      </w:r>
    </w:p>
    <w:p>
      <w:pPr>
        <w:pStyle w:val="ListBullet"/>
        <w:spacing w:after="46" w:line="252" w:lineRule="auto"/>
        <w:ind w:left="317" w:hanging="230"/>
      </w:pPr>
      <w:r>
        <w:rPr>
          <w:rFonts w:ascii="Arial" w:hAnsi="Arial"/>
          <w:color w:val="000000"/>
          <w:sz w:val="18"/>
        </w:rPr>
        <w:t>HMAC SHA-256 is calculated on the raw body and compared timing-safely. Invalid/missing signatures return 403 and are not queued.</w:t>
      </w:r>
    </w:p>
    <w:p>
      <w:pPr>
        <w:pStyle w:val="ListBullet"/>
        <w:spacing w:after="46" w:line="252" w:lineRule="auto"/>
        <w:ind w:left="317" w:hanging="230"/>
      </w:pPr>
      <w:r>
        <w:rPr>
          <w:rFonts w:ascii="Arial" w:hAnsi="Arial"/>
          <w:color w:val="000000"/>
          <w:sz w:val="18"/>
        </w:rPr>
        <w:t>A valid request is stored before queueing and acknowledged quickly. Hydration uses Graph API with retry/backoff and per-form field mapping.</w:t>
      </w:r>
    </w:p>
    <w:p>
      <w:pPr>
        <w:pStyle w:val="ListBullet"/>
        <w:spacing w:after="46" w:line="252" w:lineRule="auto"/>
        <w:ind w:left="317" w:hanging="230"/>
      </w:pPr>
      <w:r>
        <w:rPr>
          <w:rFonts w:ascii="Arial" w:hAnsi="Arial"/>
          <w:color w:val="000000"/>
          <w:sz w:val="18"/>
        </w:rPr>
        <w:t>created_time becomes lead arrival time. A 15-minute reconciliation scans the prior two hours only when Meta is enabled.</w:t>
      </w:r>
    </w:p>
    <w:p>
      <w:pPr>
        <w:pStyle w:val="ListBullet"/>
        <w:spacing w:after="46" w:line="252" w:lineRule="auto"/>
        <w:ind w:left="317" w:hanging="230"/>
      </w:pPr>
      <w:r>
        <w:rPr>
          <w:rFonts w:ascii="Arial" w:hAnsi="Arial"/>
          <w:color w:val="000000"/>
          <w:sz w:val="18"/>
        </w:rPr>
        <w:t>An advisory lock and unique (tenant_id, meta_lead_id) prevent races. Normalized phone within 10 minutes is the fallback dedupe key.</w:t>
      </w:r>
    </w:p>
    <w:p>
      <w:pPr>
        <w:pStyle w:val="ListBullet"/>
        <w:spacing w:after="46" w:line="252" w:lineRule="auto"/>
        <w:ind w:left="317" w:hanging="230"/>
      </w:pPr>
      <w:r>
        <w:rPr>
          <w:rFonts w:ascii="Arial" w:hAnsi="Arial"/>
          <w:color w:val="000000"/>
          <w:sz w:val="18"/>
        </w:rPr>
        <w:t>App secret and access token remain environment-only; they are never stored in the database or sent to the browser.</w:t>
      </w:r>
    </w:p>
    <w:p>
      <w:pPr>
        <w:pStyle w:val="Heading2"/>
        <w:keepNext/>
        <w:spacing w:before="100" w:after="80"/>
      </w:pPr>
      <w:r>
        <w:rPr>
          <w:rFonts w:ascii="Arial" w:hAnsi="Arial"/>
          <w:b/>
          <w:color w:val="000000"/>
          <w:sz w:val="23"/>
        </w:rPr>
        <w:t>Meta permissions and activation sequence</w:t>
      </w:r>
    </w:p>
    <w:p>
      <w:pPr>
        <w:spacing w:after="80" w:line="259" w:lineRule="auto"/>
      </w:pPr>
      <w:r>
        <w:rPr>
          <w:rFonts w:ascii="Arial" w:hAnsi="Arial"/>
          <w:color w:val="000000"/>
          <w:sz w:val="18"/>
        </w:rPr>
        <w:t>Generate a system-user token with exactly: leads_retrieval, pages_show_list, pages_read_engagement, pages_manage_metadata and ads_read.</w:t>
      </w:r>
    </w:p>
    <w:p>
      <w:pPr>
        <w:pStyle w:val="ListNumber"/>
        <w:spacing w:after="60"/>
        <w:ind w:left="360" w:hanging="288"/>
      </w:pPr>
      <w:r>
        <w:rPr>
          <w:rFonts w:ascii="Arial" w:hAnsi="Arial"/>
          <w:color w:val="000000"/>
          <w:sz w:val="18"/>
        </w:rPr>
        <w:t>Attach the app, Facebook Page and ad account in the client Business Manager.</w:t>
      </w:r>
    </w:p>
    <w:p>
      <w:pPr>
        <w:pStyle w:val="ListNumber"/>
        <w:spacing w:after="60"/>
        <w:ind w:left="360" w:hanging="288"/>
      </w:pPr>
      <w:r>
        <w:rPr>
          <w:rFonts w:ascii="Arial" w:hAnsi="Arial"/>
          <w:color w:val="000000"/>
          <w:sz w:val="18"/>
        </w:rPr>
        <w:t>Grant Page Leads Access and subscribe the Page to the leadgen webhook field.</w:t>
      </w:r>
    </w:p>
    <w:p>
      <w:pPr>
        <w:pStyle w:val="ListNumber"/>
        <w:spacing w:after="60"/>
        <w:ind w:left="360" w:hanging="288"/>
      </w:pPr>
      <w:r>
        <w:rPr>
          <w:rFonts w:ascii="Arial" w:hAnsi="Arial"/>
          <w:color w:val="000000"/>
          <w:sz w:val="18"/>
        </w:rPr>
        <w:t>Deploy HTTPS, set /api/webhooks/meta as the callback and confirm the verify token.</w:t>
      </w:r>
    </w:p>
    <w:p>
      <w:pPr>
        <w:pStyle w:val="ListNumber"/>
        <w:spacing w:after="60"/>
        <w:ind w:left="360" w:hanging="288"/>
      </w:pPr>
      <w:r>
        <w:rPr>
          <w:rFonts w:ascii="Arial" w:hAnsi="Arial"/>
          <w:color w:val="000000"/>
          <w:sz w:val="18"/>
        </w:rPr>
        <w:t>Place app ID, app secret and token only in server environment variables.</w:t>
      </w:r>
    </w:p>
    <w:p>
      <w:pPr>
        <w:pStyle w:val="ListNumber"/>
        <w:spacing w:after="60"/>
        <w:ind w:left="360" w:hanging="288"/>
      </w:pPr>
      <w:r>
        <w:rPr>
          <w:rFonts w:ascii="Arial" w:hAnsi="Arial"/>
          <w:color w:val="000000"/>
          <w:sz w:val="18"/>
        </w:rPr>
        <w:t>Save form IDs and mappings, use Test connection, then submit one Lead Ads Testing Tool lead.</w:t>
      </w:r>
    </w:p>
    <w:p>
      <w:pPr>
        <w:pStyle w:val="ListNumber"/>
        <w:spacing w:after="60"/>
        <w:ind w:left="360" w:hanging="288"/>
      </w:pPr>
      <w:r>
        <w:rPr>
          <w:rFonts w:ascii="Arial" w:hAnsi="Arial"/>
          <w:color w:val="000000"/>
          <w:sz w:val="18"/>
        </w:rPr>
        <w:t>Enable META_CONNECTION_ENABLED and restart web and worker after the test lead appears exactly once.</w:t>
      </w:r>
    </w:p>
    <w:tbl>
      <w:tblPr>
        <w:tblW w:type="auto" w:w="0"/>
        <w:jc w:val="center"/>
        <w:tblLayout w:type="fixed"/>
        <w:tblLook w:firstColumn="1" w:firstRow="1" w:lastColumn="0" w:lastRow="0" w:noHBand="0" w:noVBand="1" w:val="04A0"/>
      </w:tblPr>
      <w:tblGrid>
        <w:gridCol w:w="9720"/>
      </w:tblGrid>
      <w:tr>
        <w:tc>
          <w:tcPr>
            <w:tcW w:type="dxa" w:w="9994"/>
            <w:shd w:fill="FFF4D6"/>
            <w:tcMar>
              <w:top w:w="140" w:type="dxa"/>
              <w:start w:w="160" w:type="dxa"/>
              <w:bottom w:w="140" w:type="dxa"/>
              <w:end w:w="160" w:type="dxa"/>
            </w:tcMar>
          </w:tcPr>
          <w:p>
            <w:pPr>
              <w:spacing w:after="40"/>
            </w:pPr>
            <w:r>
              <w:rPr>
                <w:rFonts w:ascii="Arial" w:hAnsi="Arial"/>
                <w:b/>
                <w:color w:val="000000"/>
                <w:sz w:val="21"/>
              </w:rPr>
              <w:t>SECURITY NOTE</w:t>
            </w:r>
          </w:p>
          <w:p>
            <w:pPr>
              <w:spacing w:after="0" w:line="259" w:lineRule="auto"/>
            </w:pPr>
            <w:r>
              <w:rPr>
                <w:rFonts w:ascii="Arial" w:hAnsi="Arial"/>
                <w:color w:val="000000"/>
                <w:sz w:val="18"/>
              </w:rPr>
              <w:t>Do not paste live tokens into tickets, commits, screenshots or this handoff. Rotate any credential that has been exposed.</w:t>
            </w:r>
          </w:p>
        </w:tc>
      </w:tr>
    </w:tbl>
    <w:p>
      <w:pPr>
        <w:spacing w:after="0"/>
      </w:pPr>
    </w:p>
    <w:p>
      <w:r>
        <w:br w:type="page"/>
      </w:r>
    </w:p>
    <w:p>
      <w:pPr>
        <w:pStyle w:val="Heading1"/>
        <w:keepNext/>
        <w:spacing w:before="160" w:after="80"/>
      </w:pPr>
      <w:r>
        <w:rPr>
          <w:rFonts w:ascii="Arial" w:hAnsi="Arial"/>
          <w:b/>
          <w:color w:val="000000"/>
          <w:sz w:val="30"/>
        </w:rPr>
        <w:t>5. Verification evidence</w:t>
      </w:r>
    </w:p>
    <w:tbl>
      <w:tblPr>
        <w:tblW w:type="auto" w:w="0"/>
        <w:jc w:val="center"/>
        <w:tblLayout w:type="fixed"/>
        <w:tblLook w:firstColumn="1" w:firstRow="1" w:lastColumn="0" w:lastRow="0" w:noHBand="0" w:noVBand="1" w:val="04A0"/>
        <w:tblBorders>
          <w:top w:val="single" w:sz="6" w:color="CBD3DC"/>
          <w:left w:val="single" w:sz="6" w:color="CBD3DC"/>
          <w:bottom w:val="single" w:sz="6" w:color="CBD3DC"/>
          <w:right w:val="single" w:sz="6" w:color="CBD3DC"/>
          <w:insideH w:val="single" w:sz="6" w:color="CBD3DC"/>
          <w:insideV w:val="single" w:sz="6" w:color="CBD3DC"/>
        </w:tblBorders>
      </w:tblPr>
      <w:tblGrid>
        <w:gridCol w:w="3331"/>
        <w:gridCol w:w="3331"/>
        <w:gridCol w:w="3331"/>
      </w:tblGrid>
      <w:tr>
        <w:trPr>
          <w:tblHeader w:val="true"/>
        </w:trPr>
        <w:tc>
          <w:tcPr>
            <w:tcW w:type="dxa" w:w="2376"/>
            <w:shd w:fill="253A5C"/>
            <w:tcMar>
              <w:top w:w="90" w:type="dxa"/>
              <w:start w:w="110" w:type="dxa"/>
              <w:bottom w:w="90" w:type="dxa"/>
              <w:end w:w="110" w:type="dxa"/>
            </w:tcMar>
            <w:vAlign w:val="center"/>
          </w:tcPr>
          <w:p>
            <w:pPr>
              <w:spacing w:after="0"/>
            </w:pPr>
            <w:r>
              <w:rPr>
                <w:rFonts w:ascii="Arial" w:hAnsi="Arial"/>
                <w:b/>
                <w:color w:val="FFFFFF"/>
                <w:sz w:val="16"/>
              </w:rPr>
              <w:t>Check</w:t>
            </w:r>
          </w:p>
        </w:tc>
        <w:tc>
          <w:tcPr>
            <w:tcW w:type="dxa" w:w="1224"/>
            <w:shd w:fill="253A5C"/>
            <w:tcMar>
              <w:top w:w="90" w:type="dxa"/>
              <w:start w:w="110" w:type="dxa"/>
              <w:bottom w:w="90" w:type="dxa"/>
              <w:end w:w="110" w:type="dxa"/>
            </w:tcMar>
            <w:vAlign w:val="center"/>
          </w:tcPr>
          <w:p>
            <w:pPr>
              <w:spacing w:after="0"/>
            </w:pPr>
            <w:r>
              <w:rPr>
                <w:rFonts w:ascii="Arial" w:hAnsi="Arial"/>
                <w:b/>
                <w:color w:val="FFFFFF"/>
                <w:sz w:val="16"/>
              </w:rPr>
              <w:t>Result</w:t>
            </w:r>
          </w:p>
        </w:tc>
        <w:tc>
          <w:tcPr>
            <w:tcW w:type="dxa" w:w="6120"/>
            <w:shd w:fill="253A5C"/>
            <w:tcMar>
              <w:top w:w="90" w:type="dxa"/>
              <w:start w:w="110" w:type="dxa"/>
              <w:bottom w:w="90" w:type="dxa"/>
              <w:end w:w="110" w:type="dxa"/>
            </w:tcMar>
            <w:vAlign w:val="center"/>
          </w:tcPr>
          <w:p>
            <w:pPr>
              <w:spacing w:after="0"/>
            </w:pPr>
            <w:r>
              <w:rPr>
                <w:rFonts w:ascii="Arial" w:hAnsi="Arial"/>
                <w:b/>
                <w:color w:val="FFFFFF"/>
                <w:sz w:val="16"/>
              </w:rPr>
              <w:t>Evidence</w:t>
            </w:r>
          </w:p>
        </w:tc>
      </w:tr>
      <w:tr>
        <w:tc>
          <w:tcPr>
            <w:tcW w:type="dxa" w:w="2376"/>
            <w:tcMar>
              <w:top w:w="90" w:type="dxa"/>
              <w:start w:w="110" w:type="dxa"/>
              <w:bottom w:w="90" w:type="dxa"/>
              <w:end w:w="110" w:type="dxa"/>
            </w:tcMar>
            <w:vAlign w:val="top"/>
          </w:tcPr>
          <w:p>
            <w:pPr>
              <w:spacing w:after="0" w:line="245" w:lineRule="auto"/>
            </w:pPr>
            <w:r>
              <w:rPr>
                <w:rFonts w:ascii="Arial" w:hAnsi="Arial"/>
                <w:color w:val="000000"/>
                <w:sz w:val="16"/>
              </w:rPr>
              <w:t>Automated suite</w:t>
            </w:r>
          </w:p>
        </w:tc>
        <w:tc>
          <w:tcPr>
            <w:tcW w:type="dxa" w:w="1224"/>
            <w:tcMar>
              <w:top w:w="90" w:type="dxa"/>
              <w:start w:w="110" w:type="dxa"/>
              <w:bottom w:w="90" w:type="dxa"/>
              <w:end w:w="110" w:type="dxa"/>
            </w:tcMar>
            <w:vAlign w:val="top"/>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tcPr>
          <w:p>
            <w:pPr>
              <w:spacing w:after="0" w:line="245" w:lineRule="auto"/>
            </w:pPr>
            <w:r>
              <w:rPr>
                <w:rFonts w:ascii="Arial" w:hAnsi="Arial"/>
                <w:color w:val="000000"/>
                <w:sz w:val="16"/>
              </w:rPr>
              <w:t>7 test files; 43 tests passed</w:t>
            </w:r>
          </w:p>
        </w:tc>
      </w:tr>
      <w:tr>
        <w:tc>
          <w:tcPr>
            <w:tcW w:type="dxa" w:w="2376"/>
            <w:tcMar>
              <w:top w:w="90" w:type="dxa"/>
              <w:start w:w="110" w:type="dxa"/>
              <w:bottom w:w="90" w:type="dxa"/>
              <w:end w:w="110" w:type="dxa"/>
            </w:tcMar>
            <w:vAlign w:val="top"/>
            <w:shd w:fill="F7F9FB"/>
          </w:tcPr>
          <w:p>
            <w:pPr>
              <w:spacing w:after="0" w:line="245" w:lineRule="auto"/>
            </w:pPr>
            <w:r>
              <w:rPr>
                <w:rFonts w:ascii="Arial" w:hAnsi="Arial"/>
                <w:color w:val="000000"/>
                <w:sz w:val="16"/>
              </w:rPr>
              <w:t>Lint</w:t>
            </w:r>
          </w:p>
        </w:tc>
        <w:tc>
          <w:tcPr>
            <w:tcW w:type="dxa" w:w="1224"/>
            <w:tcMar>
              <w:top w:w="90" w:type="dxa"/>
              <w:start w:w="110" w:type="dxa"/>
              <w:bottom w:w="90" w:type="dxa"/>
              <w:end w:w="110" w:type="dxa"/>
            </w:tcMar>
            <w:vAlign w:val="top"/>
            <w:shd w:fill="F7F9FB"/>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shd w:fill="F7F9FB"/>
          </w:tcPr>
          <w:p>
            <w:pPr>
              <w:spacing w:after="0" w:line="245" w:lineRule="auto"/>
            </w:pPr>
            <w:r>
              <w:rPr>
                <w:rFonts w:ascii="Arial" w:hAnsi="Arial"/>
                <w:color w:val="000000"/>
                <w:sz w:val="16"/>
              </w:rPr>
              <w:t>npm run lint</w:t>
            </w:r>
          </w:p>
        </w:tc>
      </w:tr>
      <w:tr>
        <w:tc>
          <w:tcPr>
            <w:tcW w:type="dxa" w:w="2376"/>
            <w:tcMar>
              <w:top w:w="90" w:type="dxa"/>
              <w:start w:w="110" w:type="dxa"/>
              <w:bottom w:w="90" w:type="dxa"/>
              <w:end w:w="110" w:type="dxa"/>
            </w:tcMar>
            <w:vAlign w:val="top"/>
          </w:tcPr>
          <w:p>
            <w:pPr>
              <w:spacing w:after="0" w:line="245" w:lineRule="auto"/>
            </w:pPr>
            <w:r>
              <w:rPr>
                <w:rFonts w:ascii="Arial" w:hAnsi="Arial"/>
                <w:color w:val="000000"/>
                <w:sz w:val="16"/>
              </w:rPr>
              <w:t>TypeScript</w:t>
            </w:r>
          </w:p>
        </w:tc>
        <w:tc>
          <w:tcPr>
            <w:tcW w:type="dxa" w:w="1224"/>
            <w:tcMar>
              <w:top w:w="90" w:type="dxa"/>
              <w:start w:w="110" w:type="dxa"/>
              <w:bottom w:w="90" w:type="dxa"/>
              <w:end w:w="110" w:type="dxa"/>
            </w:tcMar>
            <w:vAlign w:val="top"/>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tcPr>
          <w:p>
            <w:pPr>
              <w:spacing w:after="0" w:line="245" w:lineRule="auto"/>
            </w:pPr>
            <w:r>
              <w:rPr>
                <w:rFonts w:ascii="Arial" w:hAnsi="Arial"/>
                <w:color w:val="000000"/>
                <w:sz w:val="16"/>
              </w:rPr>
              <w:t>npm run typecheck</w:t>
            </w:r>
          </w:p>
        </w:tc>
      </w:tr>
      <w:tr>
        <w:tc>
          <w:tcPr>
            <w:tcW w:type="dxa" w:w="2376"/>
            <w:tcMar>
              <w:top w:w="90" w:type="dxa"/>
              <w:start w:w="110" w:type="dxa"/>
              <w:bottom w:w="90" w:type="dxa"/>
              <w:end w:w="110" w:type="dxa"/>
            </w:tcMar>
            <w:vAlign w:val="top"/>
            <w:shd w:fill="F7F9FB"/>
          </w:tcPr>
          <w:p>
            <w:pPr>
              <w:spacing w:after="0" w:line="245" w:lineRule="auto"/>
            </w:pPr>
            <w:r>
              <w:rPr>
                <w:rFonts w:ascii="Arial" w:hAnsi="Arial"/>
                <w:color w:val="000000"/>
                <w:sz w:val="16"/>
              </w:rPr>
              <w:t>Production build</w:t>
            </w:r>
          </w:p>
        </w:tc>
        <w:tc>
          <w:tcPr>
            <w:tcW w:type="dxa" w:w="1224"/>
            <w:tcMar>
              <w:top w:w="90" w:type="dxa"/>
              <w:start w:w="110" w:type="dxa"/>
              <w:bottom w:w="90" w:type="dxa"/>
              <w:end w:w="110" w:type="dxa"/>
            </w:tcMar>
            <w:vAlign w:val="top"/>
            <w:shd w:fill="F7F9FB"/>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shd w:fill="F7F9FB"/>
          </w:tcPr>
          <w:p>
            <w:pPr>
              <w:spacing w:after="0" w:line="245" w:lineRule="auto"/>
            </w:pPr>
            <w:r>
              <w:rPr>
                <w:rFonts w:ascii="Arial" w:hAnsi="Arial"/>
                <w:color w:val="000000"/>
                <w:sz w:val="16"/>
              </w:rPr>
              <w:t>npm run build; 23 routes generated</w:t>
            </w:r>
          </w:p>
        </w:tc>
      </w:tr>
      <w:tr>
        <w:tc>
          <w:tcPr>
            <w:tcW w:type="dxa" w:w="2376"/>
            <w:tcMar>
              <w:top w:w="90" w:type="dxa"/>
              <w:start w:w="110" w:type="dxa"/>
              <w:bottom w:w="90" w:type="dxa"/>
              <w:end w:w="110" w:type="dxa"/>
            </w:tcMar>
            <w:vAlign w:val="top"/>
          </w:tcPr>
          <w:p>
            <w:pPr>
              <w:spacing w:after="0" w:line="245" w:lineRule="auto"/>
            </w:pPr>
            <w:r>
              <w:rPr>
                <w:rFonts w:ascii="Arial" w:hAnsi="Arial"/>
                <w:color w:val="000000"/>
                <w:sz w:val="16"/>
              </w:rPr>
              <w:t>Launch validation</w:t>
            </w:r>
          </w:p>
        </w:tc>
        <w:tc>
          <w:tcPr>
            <w:tcW w:type="dxa" w:w="1224"/>
            <w:tcMar>
              <w:top w:w="90" w:type="dxa"/>
              <w:start w:w="110" w:type="dxa"/>
              <w:bottom w:w="90" w:type="dxa"/>
              <w:end w:w="110" w:type="dxa"/>
            </w:tcMar>
            <w:vAlign w:val="top"/>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tcPr>
          <w:p>
            <w:pPr>
              <w:spacing w:after="0" w:line="245" w:lineRule="auto"/>
            </w:pPr>
            <w:r>
              <w:rPr>
                <w:rFonts w:ascii="Arial" w:hAnsi="Arial"/>
                <w:color w:val="000000"/>
                <w:sz w:val="16"/>
              </w:rPr>
              <w:t>Production-style environment accepted</w:t>
            </w:r>
          </w:p>
        </w:tc>
      </w:tr>
      <w:tr>
        <w:tc>
          <w:tcPr>
            <w:tcW w:type="dxa" w:w="2376"/>
            <w:tcMar>
              <w:top w:w="90" w:type="dxa"/>
              <w:start w:w="110" w:type="dxa"/>
              <w:bottom w:w="90" w:type="dxa"/>
              <w:end w:w="110" w:type="dxa"/>
            </w:tcMar>
            <w:vAlign w:val="top"/>
            <w:shd w:fill="F7F9FB"/>
          </w:tcPr>
          <w:p>
            <w:pPr>
              <w:spacing w:after="0" w:line="245" w:lineRule="auto"/>
            </w:pPr>
            <w:r>
              <w:rPr>
                <w:rFonts w:ascii="Arial" w:hAnsi="Arial"/>
                <w:color w:val="000000"/>
                <w:sz w:val="16"/>
              </w:rPr>
              <w:t>Clean database</w:t>
            </w:r>
          </w:p>
        </w:tc>
        <w:tc>
          <w:tcPr>
            <w:tcW w:type="dxa" w:w="1224"/>
            <w:tcMar>
              <w:top w:w="90" w:type="dxa"/>
              <w:start w:w="110" w:type="dxa"/>
              <w:bottom w:w="90" w:type="dxa"/>
              <w:end w:w="110" w:type="dxa"/>
            </w:tcMar>
            <w:vAlign w:val="top"/>
            <w:shd w:fill="F7F9FB"/>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shd w:fill="F7F9FB"/>
          </w:tcPr>
          <w:p>
            <w:pPr>
              <w:spacing w:after="0" w:line="245" w:lineRule="auto"/>
            </w:pPr>
            <w:r>
              <w:rPr>
                <w:rFonts w:ascii="Arial" w:hAnsi="Arial"/>
                <w:color w:val="000000"/>
                <w:sz w:val="16"/>
              </w:rPr>
              <w:t>Migrations 0000-0006, owner bootstrap and db:verify</w:t>
            </w:r>
          </w:p>
        </w:tc>
      </w:tr>
      <w:tr>
        <w:tc>
          <w:tcPr>
            <w:tcW w:type="dxa" w:w="2376"/>
            <w:tcMar>
              <w:top w:w="90" w:type="dxa"/>
              <w:start w:w="110" w:type="dxa"/>
              <w:bottom w:w="90" w:type="dxa"/>
              <w:end w:w="110" w:type="dxa"/>
            </w:tcMar>
            <w:vAlign w:val="top"/>
          </w:tcPr>
          <w:p>
            <w:pPr>
              <w:spacing w:after="0" w:line="245" w:lineRule="auto"/>
            </w:pPr>
            <w:r>
              <w:rPr>
                <w:rFonts w:ascii="Arial" w:hAnsi="Arial"/>
                <w:color w:val="000000"/>
                <w:sz w:val="16"/>
              </w:rPr>
              <w:t>Tenant security</w:t>
            </w:r>
          </w:p>
        </w:tc>
        <w:tc>
          <w:tcPr>
            <w:tcW w:type="dxa" w:w="1224"/>
            <w:tcMar>
              <w:top w:w="90" w:type="dxa"/>
              <w:start w:w="110" w:type="dxa"/>
              <w:bottom w:w="90" w:type="dxa"/>
              <w:end w:w="110" w:type="dxa"/>
            </w:tcMar>
            <w:vAlign w:val="top"/>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tcPr>
          <w:p>
            <w:pPr>
              <w:spacing w:after="0" w:line="245" w:lineRule="auto"/>
            </w:pPr>
            <w:r>
              <w:rPr>
                <w:rFonts w:ascii="Arial" w:hAnsi="Arial"/>
                <w:color w:val="000000"/>
                <w:sz w:val="16"/>
              </w:rPr>
              <w:t>35/35 tables verified; salesperson separation and agency write block checked</w:t>
            </w:r>
          </w:p>
        </w:tc>
      </w:tr>
      <w:tr>
        <w:tc>
          <w:tcPr>
            <w:tcW w:type="dxa" w:w="2376"/>
            <w:tcMar>
              <w:top w:w="90" w:type="dxa"/>
              <w:start w:w="110" w:type="dxa"/>
              <w:bottom w:w="90" w:type="dxa"/>
              <w:end w:w="110" w:type="dxa"/>
            </w:tcMar>
            <w:vAlign w:val="top"/>
            <w:shd w:fill="F7F9FB"/>
          </w:tcPr>
          <w:p>
            <w:pPr>
              <w:spacing w:after="0" w:line="245" w:lineRule="auto"/>
            </w:pPr>
            <w:r>
              <w:rPr>
                <w:rFonts w:ascii="Arial" w:hAnsi="Arial"/>
                <w:color w:val="000000"/>
                <w:sz w:val="16"/>
              </w:rPr>
              <w:t>Web health</w:t>
            </w:r>
          </w:p>
        </w:tc>
        <w:tc>
          <w:tcPr>
            <w:tcW w:type="dxa" w:w="1224"/>
            <w:tcMar>
              <w:top w:w="90" w:type="dxa"/>
              <w:start w:w="110" w:type="dxa"/>
              <w:bottom w:w="90" w:type="dxa"/>
              <w:end w:w="110" w:type="dxa"/>
            </w:tcMar>
            <w:vAlign w:val="top"/>
            <w:shd w:fill="F7F9FB"/>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shd w:fill="F7F9FB"/>
          </w:tcPr>
          <w:p>
            <w:pPr>
              <w:spacing w:after="0" w:line="245" w:lineRule="auto"/>
            </w:pPr>
            <w:r>
              <w:rPr>
                <w:rFonts w:ascii="Arial" w:hAnsi="Arial"/>
                <w:color w:val="000000"/>
                <w:sz w:val="16"/>
              </w:rPr>
              <w:t>Production server returned database=healthy</w:t>
            </w:r>
          </w:p>
        </w:tc>
      </w:tr>
      <w:tr>
        <w:tc>
          <w:tcPr>
            <w:tcW w:type="dxa" w:w="2376"/>
            <w:tcMar>
              <w:top w:w="90" w:type="dxa"/>
              <w:start w:w="110" w:type="dxa"/>
              <w:bottom w:w="90" w:type="dxa"/>
              <w:end w:w="110" w:type="dxa"/>
            </w:tcMar>
            <w:vAlign w:val="top"/>
          </w:tcPr>
          <w:p>
            <w:pPr>
              <w:spacing w:after="0" w:line="245" w:lineRule="auto"/>
            </w:pPr>
            <w:r>
              <w:rPr>
                <w:rFonts w:ascii="Arial" w:hAnsi="Arial"/>
                <w:color w:val="000000"/>
                <w:sz w:val="16"/>
              </w:rPr>
              <w:t>Worker</w:t>
            </w:r>
          </w:p>
        </w:tc>
        <w:tc>
          <w:tcPr>
            <w:tcW w:type="dxa" w:w="1224"/>
            <w:tcMar>
              <w:top w:w="90" w:type="dxa"/>
              <w:start w:w="110" w:type="dxa"/>
              <w:bottom w:w="90" w:type="dxa"/>
              <w:end w:w="110" w:type="dxa"/>
            </w:tcMar>
            <w:vAlign w:val="top"/>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tcPr>
          <w:p>
            <w:pPr>
              <w:spacing w:after="0" w:line="245" w:lineRule="auto"/>
            </w:pPr>
            <w:r>
              <w:rPr>
                <w:rFonts w:ascii="Arial" w:hAnsi="Arial"/>
                <w:color w:val="000000"/>
                <w:sz w:val="16"/>
              </w:rPr>
              <w:t>Dedicated worker reached ready state</w:t>
            </w:r>
          </w:p>
        </w:tc>
      </w:tr>
      <w:tr>
        <w:tc>
          <w:tcPr>
            <w:tcW w:type="dxa" w:w="2376"/>
            <w:tcMar>
              <w:top w:w="90" w:type="dxa"/>
              <w:start w:w="110" w:type="dxa"/>
              <w:bottom w:w="90" w:type="dxa"/>
              <w:end w:w="110" w:type="dxa"/>
            </w:tcMar>
            <w:vAlign w:val="top"/>
            <w:shd w:fill="F7F9FB"/>
          </w:tcPr>
          <w:p>
            <w:pPr>
              <w:spacing w:after="0" w:line="245" w:lineRule="auto"/>
            </w:pPr>
            <w:r>
              <w:rPr>
                <w:rFonts w:ascii="Arial" w:hAnsi="Arial"/>
                <w:color w:val="000000"/>
                <w:sz w:val="16"/>
              </w:rPr>
              <w:t>Owner recovery</w:t>
            </w:r>
          </w:p>
        </w:tc>
        <w:tc>
          <w:tcPr>
            <w:tcW w:type="dxa" w:w="1224"/>
            <w:tcMar>
              <w:top w:w="90" w:type="dxa"/>
              <w:start w:w="110" w:type="dxa"/>
              <w:bottom w:w="90" w:type="dxa"/>
              <w:end w:w="110" w:type="dxa"/>
            </w:tcMar>
            <w:vAlign w:val="top"/>
            <w:shd w:fill="F7F9FB"/>
          </w:tcPr>
          <w:p>
            <w:pPr>
              <w:spacing w:after="0" w:line="245" w:lineRule="auto"/>
            </w:pPr>
            <w:r>
              <w:rPr>
                <w:rFonts w:ascii="Arial" w:hAnsi="Arial"/>
                <w:color w:val="000000"/>
                <w:sz w:val="16"/>
              </w:rPr>
              <w:t>PASS</w:t>
            </w:r>
          </w:p>
        </w:tc>
        <w:tc>
          <w:tcPr>
            <w:tcW w:type="dxa" w:w="6120"/>
            <w:tcMar>
              <w:top w:w="90" w:type="dxa"/>
              <w:start w:w="110" w:type="dxa"/>
              <w:bottom w:w="90" w:type="dxa"/>
              <w:end w:w="110" w:type="dxa"/>
            </w:tcMar>
            <w:vAlign w:val="top"/>
            <w:shd w:fill="F7F9FB"/>
          </w:tcPr>
          <w:p>
            <w:pPr>
              <w:spacing w:after="0" w:line="245" w:lineRule="auto"/>
            </w:pPr>
            <w:r>
              <w:rPr>
                <w:rFonts w:ascii="Arial" w:hAnsi="Arial"/>
                <w:color w:val="000000"/>
                <w:sz w:val="16"/>
              </w:rPr>
              <w:t>Password reset CLI and subsequent login succeeded</w:t>
            </w:r>
          </w:p>
        </w:tc>
      </w:tr>
      <w:tr>
        <w:tc>
          <w:tcPr>
            <w:tcW w:type="dxa" w:w="2376"/>
            <w:tcMar>
              <w:top w:w="90" w:type="dxa"/>
              <w:start w:w="110" w:type="dxa"/>
              <w:bottom w:w="90" w:type="dxa"/>
              <w:end w:w="110" w:type="dxa"/>
            </w:tcMar>
            <w:vAlign w:val="top"/>
          </w:tcPr>
          <w:p>
            <w:pPr>
              <w:spacing w:after="0" w:line="245" w:lineRule="auto"/>
            </w:pPr>
            <w:r>
              <w:rPr>
                <w:rFonts w:ascii="Arial" w:hAnsi="Arial"/>
                <w:color w:val="000000"/>
                <w:sz w:val="16"/>
              </w:rPr>
              <w:t>Docker engine</w:t>
            </w:r>
          </w:p>
        </w:tc>
        <w:tc>
          <w:tcPr>
            <w:tcW w:type="dxa" w:w="1224"/>
            <w:tcMar>
              <w:top w:w="90" w:type="dxa"/>
              <w:start w:w="110" w:type="dxa"/>
              <w:bottom w:w="90" w:type="dxa"/>
              <w:end w:w="110" w:type="dxa"/>
            </w:tcMar>
            <w:vAlign w:val="top"/>
          </w:tcPr>
          <w:p>
            <w:pPr>
              <w:spacing w:after="0" w:line="245" w:lineRule="auto"/>
            </w:pPr>
            <w:r>
              <w:rPr>
                <w:rFonts w:ascii="Arial" w:hAnsi="Arial"/>
                <w:color w:val="000000"/>
                <w:sz w:val="16"/>
              </w:rPr>
              <w:t>BLOCKED</w:t>
            </w:r>
          </w:p>
        </w:tc>
        <w:tc>
          <w:tcPr>
            <w:tcW w:type="dxa" w:w="6120"/>
            <w:tcMar>
              <w:top w:w="90" w:type="dxa"/>
              <w:start w:w="110" w:type="dxa"/>
              <w:bottom w:w="90" w:type="dxa"/>
              <w:end w:w="110" w:type="dxa"/>
            </w:tcMar>
            <w:vAlign w:val="top"/>
          </w:tcPr>
          <w:p>
            <w:pPr>
              <w:spacing w:after="0" w:line="245" w:lineRule="auto"/>
            </w:pPr>
            <w:r>
              <w:rPr>
                <w:rFonts w:ascii="Arial" w:hAnsi="Arial"/>
                <w:color w:val="000000"/>
                <w:sz w:val="16"/>
              </w:rPr>
              <w:t>docker command unavailable on verification Mac</w:t>
            </w:r>
          </w:p>
        </w:tc>
      </w:tr>
    </w:tbl>
    <w:p>
      <w:pPr>
        <w:spacing w:after="0"/>
      </w:pPr>
    </w:p>
    <w:p>
      <w:pPr>
        <w:pStyle w:val="Heading2"/>
        <w:keepNext/>
        <w:spacing w:before="100" w:after="80"/>
      </w:pPr>
      <w:r>
        <w:rPr>
          <w:rFonts w:ascii="Arial" w:hAnsi="Arial"/>
          <w:b/>
          <w:color w:val="000000"/>
          <w:sz w:val="23"/>
        </w:rPr>
        <w:t>Required database integration coverage</w:t>
      </w:r>
    </w:p>
    <w:p>
      <w:pPr>
        <w:pStyle w:val="ListBullet"/>
        <w:spacing w:after="46" w:line="252" w:lineRule="auto"/>
        <w:ind w:left="317" w:hanging="230"/>
      </w:pPr>
      <w:r>
        <w:rPr>
          <w:rFonts w:ascii="Arial" w:hAnsi="Arial"/>
          <w:color w:val="000000"/>
          <w:sz w:val="18"/>
        </w:rPr>
        <w:t>Single close gate: all three gated reason/stage combinations block after one attempt, block two attempts on the same day and allow two attempts on two days; ungated reasons remain open.</w:t>
      </w:r>
    </w:p>
    <w:p>
      <w:pPr>
        <w:pStyle w:val="ListBullet"/>
        <w:spacing w:after="46" w:line="252" w:lineRule="auto"/>
        <w:ind w:left="317" w:hanging="230"/>
      </w:pPr>
      <w:r>
        <w:rPr>
          <w:rFonts w:ascii="Arial" w:hAnsi="Arial"/>
          <w:color w:val="000000"/>
          <w:sz w:val="18"/>
        </w:rPr>
        <w:t>Follow-up API: Yes without same-day tap returns 422; Yes with a tap returns 200; a short note returns 422.</w:t>
      </w:r>
    </w:p>
    <w:p>
      <w:pPr>
        <w:pStyle w:val="ListBullet"/>
        <w:spacing w:after="46" w:line="252" w:lineRule="auto"/>
        <w:ind w:left="317" w:hanging="230"/>
      </w:pPr>
      <w:r>
        <w:rPr>
          <w:rFonts w:ascii="Arial" w:hAnsi="Arial"/>
          <w:color w:val="000000"/>
          <w:sz w:val="18"/>
        </w:rPr>
        <w:t>Round-robin: two active users alternate, a disabled user is skipped, and owner fallback works.</w:t>
      </w:r>
    </w:p>
    <w:p>
      <w:pPr>
        <w:pStyle w:val="ListBullet"/>
        <w:spacing w:after="46" w:line="252" w:lineRule="auto"/>
        <w:ind w:left="317" w:hanging="230"/>
      </w:pPr>
      <w:r>
        <w:rPr>
          <w:rFonts w:ascii="Arial" w:hAnsi="Arial"/>
          <w:color w:val="000000"/>
          <w:sz w:val="18"/>
        </w:rPr>
        <w:t>Repeat enquiries: dormant reactivates, open logs an event, closed creates a new lead.</w:t>
      </w:r>
    </w:p>
    <w:p>
      <w:pPr>
        <w:pStyle w:val="ListBullet"/>
        <w:spacing w:after="46" w:line="252" w:lineRule="auto"/>
        <w:ind w:left="317" w:hanging="230"/>
      </w:pPr>
      <w:r>
        <w:rPr>
          <w:rFonts w:ascii="Arial" w:hAnsi="Arial"/>
          <w:color w:val="000000"/>
          <w:sz w:val="18"/>
        </w:rPr>
        <w:t>Attribution: A misses day one, pending work moves to B, B completes day two; metrics record one miss for A and one completion for B.</w:t>
      </w:r>
    </w:p>
    <w:p>
      <w:pPr>
        <w:pStyle w:val="ListBullet"/>
        <w:spacing w:after="46" w:line="252" w:lineRule="auto"/>
        <w:ind w:left="317" w:hanging="230"/>
      </w:pPr>
      <w:r>
        <w:rPr>
          <w:rFonts w:ascii="Arial" w:hAnsi="Arial"/>
          <w:color w:val="000000"/>
          <w:sz w:val="18"/>
        </w:rPr>
        <w:t>Dashboard: every per-salesperson metric is asserted for Today, seven days and 30 days, including outcome reasons and cancelled-follow-up exclusion.</w:t>
      </w:r>
    </w:p>
    <w:p>
      <w:pPr>
        <w:pStyle w:val="ListBullet"/>
        <w:spacing w:after="46" w:line="252" w:lineRule="auto"/>
        <w:ind w:left="317" w:hanging="230"/>
      </w:pPr>
      <w:r>
        <w:rPr>
          <w:rFonts w:ascii="Arial" w:hAnsi="Arial"/>
          <w:color w:val="000000"/>
          <w:sz w:val="18"/>
        </w:rPr>
        <w:t>Sheet/Meta race: concurrent arrivals for one lead deduplicate in a real PostgreSQL transaction test.</w:t>
      </w:r>
    </w:p>
    <w:p>
      <w:pPr>
        <w:pStyle w:val="ListBullet"/>
        <w:spacing w:after="46" w:line="252" w:lineRule="auto"/>
        <w:ind w:left="317" w:hanging="230"/>
      </w:pPr>
      <w:r>
        <w:rPr>
          <w:rFonts w:ascii="Arial" w:hAnsi="Arial"/>
          <w:color w:val="000000"/>
          <w:sz w:val="18"/>
        </w:rPr>
        <w:t>Large-sheet behavior: a 10,000-row synthetic sheet dataset validates the removed cap; it is not a live client sheet.</w:t>
      </w:r>
    </w:p>
    <w:p>
      <w:pPr>
        <w:pStyle w:val="Heading2"/>
        <w:keepNext/>
        <w:spacing w:before="100" w:after="80"/>
      </w:pPr>
      <w:r>
        <w:rPr>
          <w:rFonts w:ascii="Arial" w:hAnsi="Arial"/>
          <w:b/>
          <w:color w:val="000000"/>
          <w:sz w:val="23"/>
        </w:rPr>
        <w:t>Smoke-test disposition</w:t>
      </w:r>
    </w:p>
    <w:p>
      <w:pPr>
        <w:spacing w:after="80" w:line="259" w:lineRule="auto"/>
      </w:pPr>
      <w:r>
        <w:rPr>
          <w:rFonts w:ascii="Arial" w:hAnsi="Arial"/>
          <w:color w:val="000000"/>
          <w:sz w:val="18"/>
        </w:rPr>
        <w:t>Steps 1-4 and 6-15 passed through automated real-database coverage and/or direct production-process checks. Step 5 (physical iOS/Android tap behavior) is partial: link and background-send contracts pass, but a human device run remains required. The live Meta portion of step 11 remains external; signed mocked Meta and concurrent real-database dedupe passed.</w:t>
      </w:r>
    </w:p>
    <w:p>
      <w:r>
        <w:br w:type="page"/>
      </w:r>
    </w:p>
    <w:p>
      <w:pPr>
        <w:pStyle w:val="Heading1"/>
        <w:keepNext/>
        <w:spacing w:before="160" w:after="80"/>
      </w:pPr>
      <w:r>
        <w:rPr>
          <w:rFonts w:ascii="Arial" w:hAnsi="Arial"/>
          <w:b/>
          <w:color w:val="000000"/>
          <w:sz w:val="30"/>
        </w:rPr>
        <w:t>6. Deployment and operations</w:t>
      </w:r>
    </w:p>
    <w:p>
      <w:pPr>
        <w:pStyle w:val="Heading2"/>
        <w:keepNext/>
        <w:spacing w:before="100" w:after="80"/>
      </w:pPr>
      <w:r>
        <w:rPr>
          <w:rFonts w:ascii="Arial" w:hAnsi="Arial"/>
          <w:b/>
          <w:color w:val="000000"/>
          <w:sz w:val="23"/>
        </w:rPr>
        <w:t>Production launch</w:t>
      </w:r>
    </w:p>
    <w:tbl>
      <w:tblPr>
        <w:tblW w:type="auto" w:w="0"/>
        <w:jc w:val="center"/>
        <w:tblLook w:firstColumn="1" w:firstRow="1" w:lastColumn="0" w:lastRow="0" w:noHBand="0" w:noVBand="1" w:val="04A0"/>
      </w:tblPr>
      <w:tblGrid>
        <w:gridCol w:w="9994"/>
      </w:tblGrid>
      <w:tr>
        <w:tc>
          <w:tcPr>
            <w:tcW w:type="dxa" w:w="9994"/>
            <w:shd w:fill="F2F4F7"/>
            <w:tcMar>
              <w:top w:w="120" w:type="dxa"/>
              <w:start w:w="140" w:type="dxa"/>
              <w:bottom w:w="120" w:type="dxa"/>
              <w:end w:w="140" w:type="dxa"/>
            </w:tcMar>
          </w:tcPr>
          <w:p>
            <w:pPr>
              <w:spacing w:after="0" w:line="240" w:lineRule="auto"/>
            </w:pPr>
            <w:r>
              <w:rPr>
                <w:rFonts w:ascii="Courier New" w:hAnsi="Courier New"/>
                <w:color w:val="000000"/>
                <w:sz w:val="15"/>
              </w:rPr>
              <w:t>cp .env.example .env</w:t>
            </w:r>
            <w:r>
              <w:br/>
            </w:r>
            <w:r>
              <w:rPr>
                <w:rFonts w:ascii="Courier New" w:hAnsi="Courier New"/>
                <w:color w:val="000000"/>
                <w:sz w:val="15"/>
              </w:rPr>
              <w:t># Fill production values; keep META_CONNECTION_ENABLED=false initially.</w:t>
            </w:r>
            <w:r>
              <w:br/>
            </w:r>
            <w:r>
              <w:rPr>
                <w:rFonts w:ascii="Courier New" w:hAnsi="Courier New"/>
                <w:color w:val="000000"/>
                <w:sz w:val="15"/>
              </w:rPr>
              <w:t>NODE_ENV=production npm run launch:check -- --production</w:t>
            </w:r>
            <w:r>
              <w:br/>
            </w:r>
            <w:r>
              <w:rPr>
                <w:rFonts w:ascii="Courier New" w:hAnsi="Courier New"/>
                <w:color w:val="000000"/>
                <w:sz w:val="15"/>
              </w:rPr>
              <w:t>docker compose up -d --build</w:t>
            </w:r>
            <w:r>
              <w:br/>
            </w:r>
            <w:r>
              <w:rPr>
                <w:rFonts w:ascii="Courier New" w:hAnsi="Courier New"/>
                <w:color w:val="000000"/>
                <w:sz w:val="15"/>
              </w:rPr>
              <w:t>docker compose ps</w:t>
            </w:r>
            <w:r>
              <w:br/>
            </w:r>
            <w:r>
              <w:rPr>
                <w:rFonts w:ascii="Courier New" w:hAnsi="Courier New"/>
                <w:color w:val="000000"/>
                <w:sz w:val="15"/>
              </w:rPr>
              <w:t>docker compose run --rm migrate npm run db:verify</w:t>
            </w:r>
            <w:r>
              <w:br/>
            </w:r>
            <w:r>
              <w:rPr>
                <w:rFonts w:ascii="Courier New" w:hAnsi="Courier New"/>
                <w:color w:val="000000"/>
                <w:sz w:val="15"/>
              </w:rPr>
              <w:t>curl -fsS https://YOUR_APPROVED_DOMAIN/api/health</w:t>
            </w:r>
          </w:p>
        </w:tc>
      </w:tr>
    </w:tbl>
    <w:p>
      <w:pPr>
        <w:spacing w:after="0"/>
      </w:pPr>
    </w:p>
    <w:p>
      <w:pPr>
        <w:pStyle w:val="Heading2"/>
        <w:keepNext/>
        <w:spacing w:before="100" w:after="80"/>
      </w:pPr>
      <w:r>
        <w:rPr>
          <w:rFonts w:ascii="Arial" w:hAnsi="Arial"/>
          <w:b/>
          <w:color w:val="000000"/>
          <w:sz w:val="23"/>
        </w:rPr>
        <w:t>Post-launch acceptance</w:t>
      </w:r>
    </w:p>
    <w:p>
      <w:pPr>
        <w:spacing w:after="60"/>
        <w:ind w:left="360" w:hanging="288"/>
      </w:pPr>
      <w:r>
        <w:rPr>
          <w:rFonts w:ascii="Arial" w:hAnsi="Arial"/>
          <w:color w:val="000000"/>
          <w:sz w:val="18"/>
        </w:rPr>
        <w:t>1.  Sign in as Owner; create two active salespeople and one read-only Agency user.</w:t>
      </w:r>
    </w:p>
    <w:p>
      <w:pPr>
        <w:spacing w:after="60"/>
        <w:ind w:left="360" w:hanging="288"/>
      </w:pPr>
      <w:r>
        <w:rPr>
          <w:rFonts w:ascii="Arial" w:hAnsi="Arial"/>
          <w:color w:val="000000"/>
          <w:sz w:val="18"/>
        </w:rPr>
        <w:t>2.  Connect the real Google Sheet as Viewer; verify cutoff, mapping and alternating assignment.</w:t>
      </w:r>
    </w:p>
    <w:p>
      <w:pPr>
        <w:spacing w:after="60"/>
        <w:ind w:left="360" w:hanging="288"/>
      </w:pPr>
      <w:r>
        <w:rPr>
          <w:rFonts w:ascii="Arial" w:hAnsi="Arial"/>
          <w:color w:val="000000"/>
          <w:sz w:val="18"/>
        </w:rPr>
        <w:t>3.  On a real phone, test navigation, Call, WhatsApp, quick note, follow-up Yes/No and outcome gates.</w:t>
      </w:r>
    </w:p>
    <w:p>
      <w:pPr>
        <w:spacing w:after="60"/>
        <w:ind w:left="360" w:hanging="288"/>
      </w:pPr>
      <w:r>
        <w:rPr>
          <w:rFonts w:ascii="Arial" w:hAnsi="Arial"/>
          <w:color w:val="000000"/>
          <w:sz w:val="18"/>
        </w:rPr>
        <w:t>4.  Verify salesperson isolation and that Agency changes are blocked.</w:t>
      </w:r>
    </w:p>
    <w:p>
      <w:pPr>
        <w:spacing w:after="60"/>
        <w:ind w:left="360" w:hanging="288"/>
      </w:pPr>
      <w:r>
        <w:rPr>
          <w:rFonts w:ascii="Arial" w:hAnsi="Arial"/>
          <w:color w:val="000000"/>
          <w:sz w:val="18"/>
        </w:rPr>
        <w:t>5.  Compare Today, seven-day and 30-day numbers with a controlled lead set.</w:t>
      </w:r>
    </w:p>
    <w:p>
      <w:pPr>
        <w:spacing w:after="60"/>
        <w:ind w:left="360" w:hanging="288"/>
      </w:pPr>
      <w:r>
        <w:rPr>
          <w:rFonts w:ascii="Arial" w:hAnsi="Arial"/>
          <w:color w:val="000000"/>
          <w:sz w:val="18"/>
        </w:rPr>
        <w:t>6.  Test owner password recovery; then remove OWNER_RESET_PASSWORD from the environment.</w:t>
      </w:r>
    </w:p>
    <w:p>
      <w:pPr>
        <w:spacing w:after="60"/>
        <w:ind w:left="360" w:hanging="288"/>
      </w:pPr>
      <w:r>
        <w:rPr>
          <w:rFonts w:ascii="Arial" w:hAnsi="Arial"/>
          <w:color w:val="000000"/>
          <w:sz w:val="18"/>
        </w:rPr>
        <w:t>7.  Activate Meta only after HTTPS, token, Page Leads Access, form mapping and the one-lead test are complete.</w:t>
      </w:r>
    </w:p>
    <w:p>
      <w:pPr>
        <w:pStyle w:val="Heading2"/>
        <w:keepNext/>
        <w:spacing w:before="100" w:after="80"/>
      </w:pPr>
      <w:r>
        <w:rPr>
          <w:rFonts w:ascii="Arial" w:hAnsi="Arial"/>
          <w:b/>
          <w:color w:val="000000"/>
          <w:sz w:val="23"/>
        </w:rPr>
        <w:t>Backup and recovery</w:t>
      </w:r>
    </w:p>
    <w:p>
      <w:pPr>
        <w:spacing w:after="80" w:line="259" w:lineRule="auto"/>
      </w:pPr>
      <w:r>
        <w:rPr>
          <w:rFonts w:ascii="Arial" w:hAnsi="Arial"/>
          <w:color w:val="000000"/>
          <w:sz w:val="18"/>
        </w:rPr>
        <w:t>Configure an encrypted off-host destination. Run a daily PostgreSQL custom-format dump and perform a scheduled restore test. A backup is not accepted until a restore has been demonstrated.</w:t>
      </w:r>
    </w:p>
    <w:tbl>
      <w:tblPr>
        <w:tblW w:type="auto" w:w="0"/>
        <w:jc w:val="center"/>
        <w:tblLook w:firstColumn="1" w:firstRow="1" w:lastColumn="0" w:lastRow="0" w:noHBand="0" w:noVBand="1" w:val="04A0"/>
      </w:tblPr>
      <w:tblGrid>
        <w:gridCol w:w="9994"/>
      </w:tblGrid>
      <w:tr>
        <w:tc>
          <w:tcPr>
            <w:tcW w:type="dxa" w:w="9994"/>
            <w:shd w:fill="F2F4F7"/>
            <w:tcMar>
              <w:top w:w="120" w:type="dxa"/>
              <w:start w:w="140" w:type="dxa"/>
              <w:bottom w:w="120" w:type="dxa"/>
              <w:end w:w="140" w:type="dxa"/>
            </w:tcMar>
          </w:tcPr>
          <w:p>
            <w:pPr>
              <w:spacing w:after="0" w:line="240" w:lineRule="auto"/>
            </w:pPr>
            <w:r>
              <w:rPr>
                <w:rFonts w:ascii="Courier New" w:hAnsi="Courier New"/>
                <w:color w:val="000000"/>
                <w:sz w:val="15"/>
              </w:rPr>
              <w:t>docker compose exec -T postgres pg_dump -U lead_desk_owner -d lead_desk -Fc &gt; backup.dump</w:t>
            </w:r>
            <w:r>
              <w:br/>
            </w:r>
            <w:r>
              <w:rPr>
                <w:rFonts w:ascii="Courier New" w:hAnsi="Courier New"/>
                <w:color w:val="000000"/>
                <w:sz w:val="15"/>
              </w:rPr>
              <w:t>docker compose exec -T postgres pg_restore -U lead_desk_owner -d lead_desk --clean --if-exists &lt; backup.dump</w:t>
            </w:r>
          </w:p>
        </w:tc>
      </w:tr>
    </w:tbl>
    <w:p>
      <w:pPr>
        <w:spacing w:after="0"/>
      </w:pPr>
    </w:p>
    <w:p>
      <w:pPr>
        <w:pStyle w:val="Heading2"/>
        <w:keepNext/>
        <w:spacing w:before="100" w:after="80"/>
      </w:pPr>
      <w:r>
        <w:rPr>
          <w:rFonts w:ascii="Arial" w:hAnsi="Arial"/>
          <w:b/>
          <w:color w:val="000000"/>
          <w:sz w:val="23"/>
        </w:rPr>
        <w:t>Operational commands</w:t>
      </w:r>
    </w:p>
    <w:tbl>
      <w:tblPr>
        <w:tblW w:type="auto" w:w="0"/>
        <w:jc w:val="center"/>
        <w:tblLook w:firstColumn="1" w:firstRow="1" w:lastColumn="0" w:lastRow="0" w:noHBand="0" w:noVBand="1" w:val="04A0"/>
      </w:tblPr>
      <w:tblGrid>
        <w:gridCol w:w="9994"/>
      </w:tblGrid>
      <w:tr>
        <w:tc>
          <w:tcPr>
            <w:tcW w:type="dxa" w:w="9994"/>
            <w:shd w:fill="F2F4F7"/>
            <w:tcMar>
              <w:top w:w="120" w:type="dxa"/>
              <w:start w:w="140" w:type="dxa"/>
              <w:bottom w:w="120" w:type="dxa"/>
              <w:end w:w="140" w:type="dxa"/>
            </w:tcMar>
          </w:tcPr>
          <w:p>
            <w:pPr>
              <w:spacing w:after="0" w:line="240" w:lineRule="auto"/>
            </w:pPr>
            <w:r>
              <w:rPr>
                <w:rFonts w:ascii="Courier New" w:hAnsi="Courier New"/>
                <w:color w:val="000000"/>
                <w:sz w:val="15"/>
              </w:rPr>
              <w:t>docker compose logs -f web worker caddy</w:t>
            </w:r>
            <w:r>
              <w:br/>
            </w:r>
            <w:r>
              <w:rPr>
                <w:rFonts w:ascii="Courier New" w:hAnsi="Courier New"/>
                <w:color w:val="000000"/>
                <w:sz w:val="15"/>
              </w:rPr>
              <w:t>docker compose run --rm migrate npm run db:verify</w:t>
            </w:r>
            <w:r>
              <w:br/>
            </w:r>
            <w:r>
              <w:rPr>
                <w:rFonts w:ascii="Courier New" w:hAnsi="Courier New"/>
                <w:color w:val="000000"/>
                <w:sz w:val="15"/>
              </w:rPr>
              <w:t>BOOTSTRAP_OWNER_EMAIL=owner@example.com OWNER_RESET_PASSWORD='new-strong-password' npm run owner:reset-password</w:t>
            </w:r>
          </w:p>
        </w:tc>
      </w:tr>
    </w:tbl>
    <w:p>
      <w:pPr>
        <w:spacing w:after="0"/>
      </w:pPr>
    </w:p>
    <w:p>
      <w:r>
        <w:br w:type="page"/>
      </w:r>
    </w:p>
    <w:p>
      <w:pPr>
        <w:pStyle w:val="Heading1"/>
        <w:keepNext/>
        <w:spacing w:before="160" w:after="80"/>
      </w:pPr>
      <w:r>
        <w:rPr>
          <w:rFonts w:ascii="Arial" w:hAnsi="Arial"/>
          <w:b/>
          <w:color w:val="000000"/>
          <w:sz w:val="30"/>
        </w:rPr>
        <w:t>7. Known limits and final ownership</w:t>
      </w:r>
    </w:p>
    <w:tbl>
      <w:tblPr>
        <w:tblW w:type="auto" w:w="0"/>
        <w:jc w:val="center"/>
        <w:tblLayout w:type="fixed"/>
        <w:tblLook w:firstColumn="1" w:firstRow="1" w:lastColumn="0" w:lastRow="0" w:noHBand="0" w:noVBand="1" w:val="04A0"/>
        <w:tblBorders>
          <w:top w:val="single" w:sz="6" w:color="CBD3DC"/>
          <w:left w:val="single" w:sz="6" w:color="CBD3DC"/>
          <w:bottom w:val="single" w:sz="6" w:color="CBD3DC"/>
          <w:right w:val="single" w:sz="6" w:color="CBD3DC"/>
          <w:insideH w:val="single" w:sz="6" w:color="CBD3DC"/>
          <w:insideV w:val="single" w:sz="6" w:color="CBD3DC"/>
        </w:tblBorders>
      </w:tblPr>
      <w:tblGrid>
        <w:gridCol w:w="3331"/>
        <w:gridCol w:w="3331"/>
        <w:gridCol w:w="3331"/>
      </w:tblGrid>
      <w:tr>
        <w:trPr>
          <w:tblHeader w:val="true"/>
        </w:trPr>
        <w:tc>
          <w:tcPr>
            <w:tcW w:type="dxa" w:w="1728"/>
            <w:shd w:fill="253A5C"/>
            <w:tcMar>
              <w:top w:w="90" w:type="dxa"/>
              <w:start w:w="110" w:type="dxa"/>
              <w:bottom w:w="90" w:type="dxa"/>
              <w:end w:w="110" w:type="dxa"/>
            </w:tcMar>
            <w:vAlign w:val="center"/>
          </w:tcPr>
          <w:p>
            <w:pPr>
              <w:spacing w:after="0"/>
            </w:pPr>
            <w:r>
              <w:rPr>
                <w:rFonts w:ascii="Arial" w:hAnsi="Arial"/>
                <w:b/>
                <w:color w:val="FFFFFF"/>
                <w:sz w:val="15"/>
              </w:rPr>
              <w:t>Item</w:t>
            </w:r>
          </w:p>
        </w:tc>
        <w:tc>
          <w:tcPr>
            <w:tcW w:type="dxa" w:w="4680"/>
            <w:shd w:fill="253A5C"/>
            <w:tcMar>
              <w:top w:w="90" w:type="dxa"/>
              <w:start w:w="110" w:type="dxa"/>
              <w:bottom w:w="90" w:type="dxa"/>
              <w:end w:w="110" w:type="dxa"/>
            </w:tcMar>
            <w:vAlign w:val="center"/>
          </w:tcPr>
          <w:p>
            <w:pPr>
              <w:spacing w:after="0"/>
            </w:pPr>
            <w:r>
              <w:rPr>
                <w:rFonts w:ascii="Arial" w:hAnsi="Arial"/>
                <w:b/>
                <w:color w:val="FFFFFF"/>
                <w:sz w:val="15"/>
              </w:rPr>
              <w:t>Current position</w:t>
            </w:r>
          </w:p>
        </w:tc>
        <w:tc>
          <w:tcPr>
            <w:tcW w:type="dxa" w:w="3312"/>
            <w:shd w:fill="253A5C"/>
            <w:tcMar>
              <w:top w:w="90" w:type="dxa"/>
              <w:start w:w="110" w:type="dxa"/>
              <w:bottom w:w="90" w:type="dxa"/>
              <w:end w:w="110" w:type="dxa"/>
            </w:tcMar>
            <w:vAlign w:val="center"/>
          </w:tcPr>
          <w:p>
            <w:pPr>
              <w:spacing w:after="0"/>
            </w:pPr>
            <w:r>
              <w:rPr>
                <w:rFonts w:ascii="Arial" w:hAnsi="Arial"/>
                <w:b/>
                <w:color w:val="FFFFFF"/>
                <w:sz w:val="15"/>
              </w:rPr>
              <w:t>Owner/action</w:t>
            </w:r>
          </w:p>
        </w:tc>
      </w:tr>
      <w:tr>
        <w:tc>
          <w:tcPr>
            <w:tcW w:type="dxa" w:w="1728"/>
            <w:tcMar>
              <w:top w:w="90" w:type="dxa"/>
              <w:start w:w="110" w:type="dxa"/>
              <w:bottom w:w="90" w:type="dxa"/>
              <w:end w:w="110" w:type="dxa"/>
            </w:tcMar>
            <w:vAlign w:val="top"/>
          </w:tcPr>
          <w:p>
            <w:pPr>
              <w:spacing w:after="0" w:line="245" w:lineRule="auto"/>
            </w:pPr>
            <w:r>
              <w:rPr>
                <w:rFonts w:ascii="Arial" w:hAnsi="Arial"/>
                <w:color w:val="000000"/>
                <w:sz w:val="15"/>
              </w:rPr>
              <w:t>Background alerts</w:t>
            </w:r>
          </w:p>
        </w:tc>
        <w:tc>
          <w:tcPr>
            <w:tcW w:type="dxa" w:w="4680"/>
            <w:tcMar>
              <w:top w:w="90" w:type="dxa"/>
              <w:start w:w="110" w:type="dxa"/>
              <w:bottom w:w="90" w:type="dxa"/>
              <w:end w:w="110" w:type="dxa"/>
            </w:tcMar>
            <w:vAlign w:val="top"/>
          </w:tcPr>
          <w:p>
            <w:pPr>
              <w:spacing w:after="0" w:line="245" w:lineRule="auto"/>
            </w:pPr>
            <w:r>
              <w:rPr>
                <w:rFonts w:ascii="Arial" w:hAnsi="Arial"/>
                <w:color w:val="000000"/>
                <w:sz w:val="15"/>
              </w:rPr>
              <w:t>Sound and counters require the Today page to be open and alerts enabled by a tap.</w:t>
            </w:r>
          </w:p>
        </w:tc>
        <w:tc>
          <w:tcPr>
            <w:tcW w:type="dxa" w:w="3312"/>
            <w:tcMar>
              <w:top w:w="90" w:type="dxa"/>
              <w:start w:w="110" w:type="dxa"/>
              <w:bottom w:w="90" w:type="dxa"/>
              <w:end w:w="110" w:type="dxa"/>
            </w:tcMar>
            <w:vAlign w:val="top"/>
          </w:tcPr>
          <w:p>
            <w:pPr>
              <w:spacing w:after="0" w:line="245" w:lineRule="auto"/>
            </w:pPr>
            <w:r>
              <w:rPr>
                <w:rFonts w:ascii="Arial" w:hAnsi="Arial"/>
                <w:color w:val="000000"/>
                <w:sz w:val="15"/>
              </w:rPr>
              <w:t>Add web push/provider alerts only if this becomes a requirement.</w:t>
            </w:r>
          </w:p>
        </w:tc>
      </w:tr>
      <w:tr>
        <w:tc>
          <w:tcPr>
            <w:tcW w:type="dxa" w:w="1728"/>
            <w:tcMar>
              <w:top w:w="90" w:type="dxa"/>
              <w:start w:w="110" w:type="dxa"/>
              <w:bottom w:w="90" w:type="dxa"/>
              <w:end w:w="110" w:type="dxa"/>
            </w:tcMar>
            <w:vAlign w:val="top"/>
            <w:shd w:fill="F7F9FB"/>
          </w:tcPr>
          <w:p>
            <w:pPr>
              <w:spacing w:after="0" w:line="245" w:lineRule="auto"/>
            </w:pPr>
            <w:r>
              <w:rPr>
                <w:rFonts w:ascii="Arial" w:hAnsi="Arial"/>
                <w:color w:val="000000"/>
                <w:sz w:val="15"/>
              </w:rPr>
              <w:t>Contact proof</w:t>
            </w:r>
          </w:p>
        </w:tc>
        <w:tc>
          <w:tcPr>
            <w:tcW w:type="dxa" w:w="4680"/>
            <w:tcMar>
              <w:top w:w="90" w:type="dxa"/>
              <w:start w:w="110" w:type="dxa"/>
              <w:bottom w:w="90" w:type="dxa"/>
              <w:end w:w="110" w:type="dxa"/>
            </w:tcMar>
            <w:vAlign w:val="top"/>
            <w:shd w:fill="F7F9FB"/>
          </w:tcPr>
          <w:p>
            <w:pPr>
              <w:spacing w:after="0" w:line="245" w:lineRule="auto"/>
            </w:pPr>
            <w:r>
              <w:rPr>
                <w:rFonts w:ascii="Arial" w:hAnsi="Arial"/>
                <w:color w:val="000000"/>
                <w:sz w:val="15"/>
              </w:rPr>
              <w:t>A Call/WhatsApp tap proves link launch, not a completed conversation.</w:t>
            </w:r>
          </w:p>
        </w:tc>
        <w:tc>
          <w:tcPr>
            <w:tcW w:type="dxa" w:w="3312"/>
            <w:tcMar>
              <w:top w:w="90" w:type="dxa"/>
              <w:start w:w="110" w:type="dxa"/>
              <w:bottom w:w="90" w:type="dxa"/>
              <w:end w:w="110" w:type="dxa"/>
            </w:tcMar>
            <w:vAlign w:val="top"/>
            <w:shd w:fill="F7F9FB"/>
          </w:tcPr>
          <w:p>
            <w:pPr>
              <w:spacing w:after="0" w:line="245" w:lineRule="auto"/>
            </w:pPr>
            <w:r>
              <w:rPr>
                <w:rFonts w:ascii="Arial" w:hAnsi="Arial"/>
                <w:color w:val="000000"/>
                <w:sz w:val="15"/>
              </w:rPr>
              <w:t>Use follow-up answers and notes as the human outcome record.</w:t>
            </w:r>
          </w:p>
        </w:tc>
      </w:tr>
      <w:tr>
        <w:tc>
          <w:tcPr>
            <w:tcW w:type="dxa" w:w="1728"/>
            <w:tcMar>
              <w:top w:w="90" w:type="dxa"/>
              <w:start w:w="110" w:type="dxa"/>
              <w:bottom w:w="90" w:type="dxa"/>
              <w:end w:w="110" w:type="dxa"/>
            </w:tcMar>
            <w:vAlign w:val="top"/>
          </w:tcPr>
          <w:p>
            <w:pPr>
              <w:spacing w:after="0" w:line="245" w:lineRule="auto"/>
            </w:pPr>
            <w:r>
              <w:rPr>
                <w:rFonts w:ascii="Arial" w:hAnsi="Arial"/>
                <w:color w:val="000000"/>
                <w:sz w:val="15"/>
              </w:rPr>
              <w:t>Sheet latency</w:t>
            </w:r>
          </w:p>
        </w:tc>
        <w:tc>
          <w:tcPr>
            <w:tcW w:type="dxa" w:w="4680"/>
            <w:tcMar>
              <w:top w:w="90" w:type="dxa"/>
              <w:start w:w="110" w:type="dxa"/>
              <w:bottom w:w="90" w:type="dxa"/>
              <w:end w:w="110" w:type="dxa"/>
            </w:tcMar>
            <w:vAlign w:val="top"/>
          </w:tcPr>
          <w:p>
            <w:pPr>
              <w:spacing w:after="0" w:line="245" w:lineRule="auto"/>
            </w:pPr>
            <w:r>
              <w:rPr>
                <w:rFonts w:ascii="Arial" w:hAnsi="Arial"/>
                <w:color w:val="000000"/>
                <w:sz w:val="15"/>
              </w:rPr>
              <w:t>Polling is near-real-time, default one minute.</w:t>
            </w:r>
          </w:p>
        </w:tc>
        <w:tc>
          <w:tcPr>
            <w:tcW w:type="dxa" w:w="3312"/>
            <w:tcMar>
              <w:top w:w="90" w:type="dxa"/>
              <w:start w:w="110" w:type="dxa"/>
              <w:bottom w:w="90" w:type="dxa"/>
              <w:end w:w="110" w:type="dxa"/>
            </w:tcMar>
            <w:vAlign w:val="top"/>
          </w:tcPr>
          <w:p>
            <w:pPr>
              <w:spacing w:after="0" w:line="245" w:lineRule="auto"/>
            </w:pPr>
            <w:r>
              <w:rPr>
                <w:rFonts w:ascii="Arial" w:hAnsi="Arial"/>
                <w:color w:val="000000"/>
                <w:sz w:val="15"/>
              </w:rPr>
              <w:t>Client accepts polling or funds a different source architecture.</w:t>
            </w:r>
          </w:p>
        </w:tc>
      </w:tr>
      <w:tr>
        <w:tc>
          <w:tcPr>
            <w:tcW w:type="dxa" w:w="1728"/>
            <w:tcMar>
              <w:top w:w="90" w:type="dxa"/>
              <w:start w:w="110" w:type="dxa"/>
              <w:bottom w:w="90" w:type="dxa"/>
              <w:end w:w="110" w:type="dxa"/>
            </w:tcMar>
            <w:vAlign w:val="top"/>
            <w:shd w:fill="F7F9FB"/>
          </w:tcPr>
          <w:p>
            <w:pPr>
              <w:spacing w:after="0" w:line="245" w:lineRule="auto"/>
            </w:pPr>
            <w:r>
              <w:rPr>
                <w:rFonts w:ascii="Arial" w:hAnsi="Arial"/>
                <w:color w:val="000000"/>
                <w:sz w:val="15"/>
              </w:rPr>
              <w:t>Availability</w:t>
            </w:r>
          </w:p>
        </w:tc>
        <w:tc>
          <w:tcPr>
            <w:tcW w:type="dxa" w:w="4680"/>
            <w:tcMar>
              <w:top w:w="90" w:type="dxa"/>
              <w:start w:w="110" w:type="dxa"/>
              <w:bottom w:w="90" w:type="dxa"/>
              <w:end w:w="110" w:type="dxa"/>
            </w:tcMar>
            <w:vAlign w:val="top"/>
            <w:shd w:fill="F7F9FB"/>
          </w:tcPr>
          <w:p>
            <w:pPr>
              <w:spacing w:after="0" w:line="245" w:lineRule="auto"/>
            </w:pPr>
            <w:r>
              <w:rPr>
                <w:rFonts w:ascii="Arial" w:hAnsi="Arial"/>
                <w:color w:val="000000"/>
                <w:sz w:val="15"/>
              </w:rPr>
              <w:t>Single-region Compose; no managed failover.</w:t>
            </w:r>
          </w:p>
        </w:tc>
        <w:tc>
          <w:tcPr>
            <w:tcW w:type="dxa" w:w="3312"/>
            <w:tcMar>
              <w:top w:w="90" w:type="dxa"/>
              <w:start w:w="110" w:type="dxa"/>
              <w:bottom w:w="90" w:type="dxa"/>
              <w:end w:w="110" w:type="dxa"/>
            </w:tcMar>
            <w:vAlign w:val="top"/>
            <w:shd w:fill="F7F9FB"/>
          </w:tcPr>
          <w:p>
            <w:pPr>
              <w:spacing w:after="0" w:line="245" w:lineRule="auto"/>
            </w:pPr>
            <w:r>
              <w:rPr>
                <w:rFonts w:ascii="Arial" w:hAnsi="Arial"/>
                <w:color w:val="000000"/>
                <w:sz w:val="15"/>
              </w:rPr>
              <w:t>Operations team owns VPS monitoring, backups and restore drills.</w:t>
            </w:r>
          </w:p>
        </w:tc>
      </w:tr>
      <w:tr>
        <w:tc>
          <w:tcPr>
            <w:tcW w:type="dxa" w:w="1728"/>
            <w:tcMar>
              <w:top w:w="90" w:type="dxa"/>
              <w:start w:w="110" w:type="dxa"/>
              <w:bottom w:w="90" w:type="dxa"/>
              <w:end w:w="110" w:type="dxa"/>
            </w:tcMar>
            <w:vAlign w:val="top"/>
          </w:tcPr>
          <w:p>
            <w:pPr>
              <w:spacing w:after="0" w:line="245" w:lineRule="auto"/>
            </w:pPr>
            <w:r>
              <w:rPr>
                <w:rFonts w:ascii="Arial" w:hAnsi="Arial"/>
                <w:color w:val="000000"/>
                <w:sz w:val="15"/>
              </w:rPr>
              <w:t>Dependency audit</w:t>
            </w:r>
          </w:p>
        </w:tc>
        <w:tc>
          <w:tcPr>
            <w:tcW w:type="dxa" w:w="4680"/>
            <w:tcMar>
              <w:top w:w="90" w:type="dxa"/>
              <w:start w:w="110" w:type="dxa"/>
              <w:bottom w:w="90" w:type="dxa"/>
              <w:end w:w="110" w:type="dxa"/>
            </w:tcMar>
            <w:vAlign w:val="top"/>
          </w:tcPr>
          <w:p>
            <w:pPr>
              <w:spacing w:after="0" w:line="245" w:lineRule="auto"/>
            </w:pPr>
            <w:r>
              <w:rPr>
                <w:rFonts w:ascii="Arial" w:hAnsi="Arial"/>
                <w:color w:val="000000"/>
                <w:sz w:val="15"/>
              </w:rPr>
              <w:t>npm audit --omit=dev reports two transitive advisories (one moderate, one high) in Next's bundled PostCSS; npm reports no fix available.</w:t>
            </w:r>
          </w:p>
        </w:tc>
        <w:tc>
          <w:tcPr>
            <w:tcW w:type="dxa" w:w="3312"/>
            <w:tcMar>
              <w:top w:w="90" w:type="dxa"/>
              <w:start w:w="110" w:type="dxa"/>
              <w:bottom w:w="90" w:type="dxa"/>
              <w:end w:w="110" w:type="dxa"/>
            </w:tcMar>
            <w:vAlign w:val="top"/>
          </w:tcPr>
          <w:p>
            <w:pPr>
              <w:spacing w:after="0" w:line="245" w:lineRule="auto"/>
            </w:pPr>
            <w:r>
              <w:rPr>
                <w:rFonts w:ascii="Arial" w:hAnsi="Arial"/>
                <w:color w:val="000000"/>
                <w:sz w:val="15"/>
              </w:rPr>
              <w:t>Track upstream Next.js remediation; do not force an unsafe dependency override.</w:t>
            </w:r>
          </w:p>
        </w:tc>
      </w:tr>
      <w:tr>
        <w:tc>
          <w:tcPr>
            <w:tcW w:type="dxa" w:w="1728"/>
            <w:tcMar>
              <w:top w:w="90" w:type="dxa"/>
              <w:start w:w="110" w:type="dxa"/>
              <w:bottom w:w="90" w:type="dxa"/>
              <w:end w:w="110" w:type="dxa"/>
            </w:tcMar>
            <w:vAlign w:val="top"/>
            <w:shd w:fill="F7F9FB"/>
          </w:tcPr>
          <w:p>
            <w:pPr>
              <w:spacing w:after="0" w:line="245" w:lineRule="auto"/>
            </w:pPr>
            <w:r>
              <w:rPr>
                <w:rFonts w:ascii="Arial" w:hAnsi="Arial"/>
                <w:color w:val="000000"/>
                <w:sz w:val="15"/>
              </w:rPr>
              <w:t>Docker validation</w:t>
            </w:r>
          </w:p>
        </w:tc>
        <w:tc>
          <w:tcPr>
            <w:tcW w:type="dxa" w:w="4680"/>
            <w:tcMar>
              <w:top w:w="90" w:type="dxa"/>
              <w:start w:w="110" w:type="dxa"/>
              <w:bottom w:w="90" w:type="dxa"/>
              <w:end w:w="110" w:type="dxa"/>
            </w:tcMar>
            <w:vAlign w:val="top"/>
            <w:shd w:fill="F7F9FB"/>
          </w:tcPr>
          <w:p>
            <w:pPr>
              <w:spacing w:after="0" w:line="245" w:lineRule="auto"/>
            </w:pPr>
            <w:r>
              <w:rPr>
                <w:rFonts w:ascii="Arial" w:hAnsi="Arial"/>
                <w:color w:val="000000"/>
                <w:sz w:val="15"/>
              </w:rPr>
              <w:t>Compose files are complete, but local Docker could not be executed on this Mac.</w:t>
            </w:r>
          </w:p>
        </w:tc>
        <w:tc>
          <w:tcPr>
            <w:tcW w:type="dxa" w:w="3312"/>
            <w:tcMar>
              <w:top w:w="90" w:type="dxa"/>
              <w:start w:w="110" w:type="dxa"/>
              <w:bottom w:w="90" w:type="dxa"/>
              <w:end w:w="110" w:type="dxa"/>
            </w:tcMar>
            <w:vAlign w:val="top"/>
            <w:shd w:fill="F7F9FB"/>
          </w:tcPr>
          <w:p>
            <w:pPr>
              <w:spacing w:after="0" w:line="245" w:lineRule="auto"/>
            </w:pPr>
            <w:r>
              <w:rPr>
                <w:rFonts w:ascii="Arial" w:hAnsi="Arial"/>
                <w:color w:val="000000"/>
                <w:sz w:val="15"/>
              </w:rPr>
              <w:t>Run the documented launch commands on the target VPS before traffic.</w:t>
            </w:r>
          </w:p>
        </w:tc>
      </w:tr>
    </w:tbl>
    <w:p>
      <w:pPr>
        <w:spacing w:after="0"/>
      </w:pPr>
    </w:p>
    <w:p>
      <w:pPr>
        <w:pStyle w:val="Heading2"/>
        <w:keepNext/>
        <w:spacing w:before="100" w:after="80"/>
      </w:pPr>
      <w:r>
        <w:rPr>
          <w:rFonts w:ascii="Arial" w:hAnsi="Arial"/>
          <w:b/>
          <w:color w:val="000000"/>
          <w:sz w:val="23"/>
        </w:rPr>
        <w:t>External actions remaining</w:t>
      </w:r>
    </w:p>
    <w:p>
      <w:pPr>
        <w:pStyle w:val="ListBullet"/>
        <w:spacing w:after="46" w:line="252" w:lineRule="auto"/>
        <w:ind w:left="317" w:hanging="230"/>
      </w:pPr>
      <w:r>
        <w:rPr>
          <w:rFonts w:ascii="Arial" w:hAnsi="Arial"/>
          <w:color w:val="000000"/>
          <w:sz w:val="18"/>
        </w:rPr>
        <w:t>Approve the final domain, create DNS and provision the Mumbai VPS with Docker Engine and Compose.</w:t>
      </w:r>
    </w:p>
    <w:p>
      <w:pPr>
        <w:pStyle w:val="ListBullet"/>
        <w:spacing w:after="46" w:line="252" w:lineRule="auto"/>
        <w:ind w:left="317" w:hanging="230"/>
      </w:pPr>
      <w:r>
        <w:rPr>
          <w:rFonts w:ascii="Arial" w:hAnsi="Arial"/>
          <w:color w:val="000000"/>
          <w:sz w:val="18"/>
        </w:rPr>
        <w:t>Create production .env values and keep all secrets outside source control.</w:t>
      </w:r>
    </w:p>
    <w:p>
      <w:pPr>
        <w:pStyle w:val="ListBullet"/>
        <w:spacing w:after="46" w:line="252" w:lineRule="auto"/>
        <w:ind w:left="317" w:hanging="230"/>
      </w:pPr>
      <w:r>
        <w:rPr>
          <w:rFonts w:ascii="Arial" w:hAnsi="Arial"/>
          <w:color w:val="000000"/>
          <w:sz w:val="18"/>
        </w:rPr>
        <w:t>Connect the real Google service account and Sheet, then execute the cutoff/mapping acceptance test.</w:t>
      </w:r>
    </w:p>
    <w:p>
      <w:pPr>
        <w:pStyle w:val="ListBullet"/>
        <w:spacing w:after="46" w:line="252" w:lineRule="auto"/>
        <w:ind w:left="317" w:hanging="230"/>
      </w:pPr>
      <w:r>
        <w:rPr>
          <w:rFonts w:ascii="Arial" w:hAnsi="Arial"/>
          <w:color w:val="000000"/>
          <w:sz w:val="18"/>
        </w:rPr>
        <w:t>Complete the client Business Manager checklist and activate Meta last.</w:t>
      </w:r>
    </w:p>
    <w:p>
      <w:pPr>
        <w:pStyle w:val="ListBullet"/>
        <w:spacing w:after="46" w:line="252" w:lineRule="auto"/>
        <w:ind w:left="317" w:hanging="230"/>
      </w:pPr>
      <w:r>
        <w:rPr>
          <w:rFonts w:ascii="Arial" w:hAnsi="Arial"/>
          <w:color w:val="000000"/>
          <w:sz w:val="18"/>
        </w:rPr>
        <w:t>Run physical mobile acceptance on the devices the sales team will use.</w:t>
      </w:r>
    </w:p>
    <w:p>
      <w:pPr>
        <w:pStyle w:val="ListBullet"/>
        <w:spacing w:after="46" w:line="252" w:lineRule="auto"/>
        <w:ind w:left="317" w:hanging="230"/>
      </w:pPr>
      <w:r>
        <w:rPr>
          <w:rFonts w:ascii="Arial" w:hAnsi="Arial"/>
          <w:color w:val="000000"/>
          <w:sz w:val="18"/>
        </w:rPr>
        <w:t>Configure off-host backups, monitoring and a tested restore procedure.</w:t>
      </w:r>
    </w:p>
    <w:p>
      <w:pPr>
        <w:pStyle w:val="Heading2"/>
        <w:keepNext/>
        <w:spacing w:before="100" w:after="80"/>
      </w:pPr>
      <w:r>
        <w:rPr>
          <w:rFonts w:ascii="Arial" w:hAnsi="Arial"/>
          <w:b/>
          <w:color w:val="000000"/>
          <w:sz w:val="23"/>
        </w:rPr>
        <w:t>Source of truth</w:t>
      </w:r>
    </w:p>
    <w:p>
      <w:pPr>
        <w:spacing w:after="80" w:line="259" w:lineRule="auto"/>
      </w:pPr>
      <w:r>
        <w:rPr>
          <w:rFonts w:ascii="Arial" w:hAnsi="Arial"/>
          <w:color w:val="000000"/>
          <w:sz w:val="18"/>
        </w:rPr>
        <w:t>README.md contains setup and integration instructions. docs/go-live-checklist.md is the operational acceptance list. Database migration 0006 is the authoritative canonical-outcome/follow-up-attribution migration. Automated tests are the acceptance evidence for application behavior.</w:t>
      </w:r>
    </w:p>
    <w:tbl>
      <w:tblPr>
        <w:tblW w:type="auto" w:w="0"/>
        <w:jc w:val="center"/>
        <w:tblLayout w:type="fixed"/>
        <w:tblLook w:firstColumn="1" w:firstRow="1" w:lastColumn="0" w:lastRow="0" w:noHBand="0" w:noVBand="1" w:val="04A0"/>
      </w:tblPr>
      <w:tblGrid>
        <w:gridCol w:w="9720"/>
      </w:tblGrid>
      <w:tr>
        <w:tc>
          <w:tcPr>
            <w:tcW w:type="dxa" w:w="9994"/>
            <w:shd w:fill="EAF5EE"/>
            <w:tcMar>
              <w:top w:w="140" w:type="dxa"/>
              <w:start w:w="160" w:type="dxa"/>
              <w:bottom w:w="140" w:type="dxa"/>
              <w:end w:w="160" w:type="dxa"/>
            </w:tcMar>
          </w:tcPr>
          <w:p>
            <w:pPr>
              <w:spacing w:after="40"/>
            </w:pPr>
            <w:r>
              <w:rPr>
                <w:rFonts w:ascii="Arial" w:hAnsi="Arial"/>
                <w:b/>
                <w:color w:val="000000"/>
                <w:sz w:val="21"/>
              </w:rPr>
              <w:t>HANDOFF DECISION</w:t>
            </w:r>
          </w:p>
          <w:p>
            <w:pPr>
              <w:spacing w:after="0" w:line="259" w:lineRule="auto"/>
            </w:pPr>
            <w:r>
              <w:rPr>
                <w:rFonts w:ascii="Arial" w:hAnsi="Arial"/>
                <w:color w:val="000000"/>
                <w:sz w:val="18"/>
              </w:rPr>
              <w:t>The codebase is ready for the client's deployment team to run on the target VPS. Production traffic should not begin until the Docker boot, real Sheet test, physical mobile test, tenant-access check and backup/restore checklist have passed in that environment.</w:t>
            </w:r>
          </w:p>
        </w:tc>
      </w:tr>
    </w:tbl>
    <w:p>
      <w:pPr>
        <w:spacing w:after="0"/>
      </w:pP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Response Desk Technical Handoff</dc:title>
  <dc:subject>Roopkala Lead Desk Version 1 implementation and deployment handoff</dc:subject>
  <dc:creator>Lead Response Desk engineering</dc:creator>
  <cp:keywords>lead response, handoff, Roopkala, PostgreSQL, Docker, Meta, Google Sheets</cp:keywords>
  <dc:description>generated by python-docx</dc:description>
  <cp:lastModifiedBy/>
  <cp:revision>1</cp:revision>
  <dcterms:created xsi:type="dcterms:W3CDTF">2013-12-23T23:15:00Z</dcterms:created>
  <dcterms:modified xsi:type="dcterms:W3CDTF">2013-12-23T23:15:00Z</dcterms:modified>
  <cp:category/>
</cp:coreProperties>
</file>