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52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6"/>
        <w:gridCol w:w="4852"/>
        <w:gridCol w:w="2852"/>
      </w:tblGrid>
      <w:tr>
        <w:trPr/>
        <w:tc>
          <w:tcPr>
            <w:tcW w:w="381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85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1152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WallSquareFootage(Length, Width, Height)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SquareFootage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SquareFootage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087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GallonsOfPaint(SquareFootage)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WallGallonsNeeded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WallGallonsNeeded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361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CeilingArea(Length, Width)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CeilingsArea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CeilingsArea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067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GallonsOfVarnish(CeilingsArea)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GallOfVarnish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GallOfVarnish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332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Length(float),Width(float),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Height(float)</w:t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“Do you want to run?”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Length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Width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Height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Call SquareFootage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Call WallGallonsNeeded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Call CeilingsArea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Call GallOfVarnish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“run again?”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wall square footage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Gallons of paint needed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Ceiling/Floor area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gallons of Varnish/Ceiling paint needed</w:t>
            </w:r>
          </w:p>
        </w:tc>
      </w:tr>
      <w:tr>
        <w:trPr>
          <w:trHeight w:val="5444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Application>LibreOffice/24.2.5.2$Windows_X86_64 LibreOffice_project/bffef4ea93e59bebbeaf7f431bb02b1a39ee8a59</Application>
  <AppVersion>15.0000</AppVersion>
  <Pages>2</Pages>
  <Words>85</Words>
  <Characters>658</Characters>
  <CharactersWithSpaces>901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2024-10-27T10:07:38Z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