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CC6C5" w14:textId="001514AE" w:rsidR="00C57D3D" w:rsidRDefault="005701F2" w:rsidP="005701F2">
      <w:pPr>
        <w:pStyle w:val="Heading1"/>
        <w:jc w:val="center"/>
      </w:pPr>
      <w:r>
        <w:t>Unit 9</w:t>
      </w:r>
    </w:p>
    <w:p w14:paraId="45DAD4A5" w14:textId="1D919F0B" w:rsidR="005701F2" w:rsidRDefault="005701F2" w:rsidP="005701F2">
      <w:pPr>
        <w:pStyle w:val="Heading1"/>
        <w:jc w:val="center"/>
      </w:pPr>
      <w:r>
        <w:t>Workbook interpretations</w:t>
      </w:r>
    </w:p>
    <w:p w14:paraId="5C359CB2" w14:textId="77777777" w:rsidR="005701F2" w:rsidRDefault="005701F2"/>
    <w:p w14:paraId="1A2C71BA" w14:textId="77777777" w:rsidR="005701F2" w:rsidRDefault="005701F2"/>
    <w:p w14:paraId="58BCFDE2" w14:textId="219952CC" w:rsidR="00B52B1A" w:rsidRPr="00B52B1A" w:rsidRDefault="00B52B1A" w:rsidP="00856FF7">
      <w:pPr>
        <w:jc w:val="both"/>
        <w:rPr>
          <w:b/>
          <w:bCs/>
        </w:rPr>
      </w:pPr>
      <w:r w:rsidRPr="00B52B1A">
        <w:rPr>
          <w:b/>
          <w:bCs/>
        </w:rPr>
        <w:t>Exercise 9.1</w:t>
      </w:r>
    </w:p>
    <w:p w14:paraId="29D2FF53" w14:textId="02ECFD45" w:rsidR="005701F2" w:rsidRDefault="005701F2" w:rsidP="00856FF7">
      <w:pPr>
        <w:jc w:val="both"/>
      </w:pPr>
      <w:r>
        <w:t>For this exercise, I was required</w:t>
      </w:r>
      <w:r w:rsidR="009E6107">
        <w:t xml:space="preserve"> to use the percentage table to create a bar chart for the brand preferences in Area 1 and 2. The graph of Area one shows a big preference for the “Other” brand category</w:t>
      </w:r>
      <w:r w:rsidR="00B52B1A">
        <w:t xml:space="preserve"> compared to Brand A and B. The same is true for Area 2. However, the differences between the brands are a lot smaller in Area 2. The underlying message from </w:t>
      </w:r>
      <w:proofErr w:type="gramStart"/>
      <w:r w:rsidR="00B52B1A">
        <w:t>both of these</w:t>
      </w:r>
      <w:proofErr w:type="gramEnd"/>
      <w:r w:rsidR="00B52B1A">
        <w:t xml:space="preserve"> graphs is that regardless of location people tend to prefer “Other” brand over brand A and B. They ranked brand A the lowest in both areas.</w:t>
      </w:r>
    </w:p>
    <w:p w14:paraId="0D3E4184" w14:textId="4816968C" w:rsidR="009E6107" w:rsidRDefault="009E6107" w:rsidP="00856FF7">
      <w:pPr>
        <w:jc w:val="both"/>
      </w:pPr>
      <w:r>
        <w:rPr>
          <w:noProof/>
        </w:rPr>
        <w:drawing>
          <wp:anchor distT="0" distB="0" distL="114300" distR="114300" simplePos="0" relativeHeight="251660288" behindDoc="0" locked="0" layoutInCell="1" allowOverlap="1" wp14:anchorId="11F6360C" wp14:editId="12575CA2">
            <wp:simplePos x="0" y="0"/>
            <wp:positionH relativeFrom="column">
              <wp:posOffset>3168650</wp:posOffset>
            </wp:positionH>
            <wp:positionV relativeFrom="paragraph">
              <wp:posOffset>286385</wp:posOffset>
            </wp:positionV>
            <wp:extent cx="2995930" cy="2117725"/>
            <wp:effectExtent l="0" t="0" r="13970" b="15875"/>
            <wp:wrapTopAndBottom/>
            <wp:docPr id="1975228467" name="Chart 1">
              <a:extLst xmlns:a="http://schemas.openxmlformats.org/drawingml/2006/main">
                <a:ext uri="{FF2B5EF4-FFF2-40B4-BE49-F238E27FC236}">
                  <a16:creationId xmlns:a16="http://schemas.microsoft.com/office/drawing/2014/main" id="{7C9849D3-ACC0-BDFE-BD8F-277CFC835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34DDB827" w14:textId="18DF42E9" w:rsidR="005701F2" w:rsidRDefault="005701F2" w:rsidP="00856FF7">
      <w:pPr>
        <w:jc w:val="both"/>
      </w:pPr>
      <w:r>
        <w:rPr>
          <w:noProof/>
        </w:rPr>
        <w:drawing>
          <wp:anchor distT="0" distB="0" distL="114300" distR="114300" simplePos="0" relativeHeight="251659264" behindDoc="0" locked="0" layoutInCell="1" allowOverlap="1" wp14:anchorId="296A09C8" wp14:editId="7ED41E10">
            <wp:simplePos x="0" y="0"/>
            <wp:positionH relativeFrom="column">
              <wp:posOffset>0</wp:posOffset>
            </wp:positionH>
            <wp:positionV relativeFrom="paragraph">
              <wp:posOffset>-2540</wp:posOffset>
            </wp:positionV>
            <wp:extent cx="3024505" cy="2088515"/>
            <wp:effectExtent l="0" t="0" r="4445" b="6985"/>
            <wp:wrapTopAndBottom/>
            <wp:docPr id="1348205019"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00425852" w14:textId="30FAAD2D" w:rsidR="00B52B1A" w:rsidRPr="006567B7" w:rsidRDefault="00B52B1A" w:rsidP="00856FF7">
      <w:pPr>
        <w:jc w:val="both"/>
        <w:rPr>
          <w:b/>
          <w:bCs/>
        </w:rPr>
      </w:pPr>
      <w:r w:rsidRPr="006567B7">
        <w:rPr>
          <w:b/>
          <w:bCs/>
        </w:rPr>
        <w:t>Exercise 9.2:</w:t>
      </w:r>
    </w:p>
    <w:p w14:paraId="462137CC" w14:textId="71F6FF7F" w:rsidR="00B52B1A" w:rsidRDefault="00680513" w:rsidP="00856FF7">
      <w:pPr>
        <w:jc w:val="both"/>
      </w:pPr>
      <w:r w:rsidRPr="00680513">
        <w:t>This task involves analy</w:t>
      </w:r>
      <w:r>
        <w:t>s</w:t>
      </w:r>
      <w:r w:rsidRPr="00680513">
        <w:t>ing the frequency distribution of heather species across two different locations using the dataset provided in </w:t>
      </w:r>
      <w:r w:rsidRPr="00680513">
        <w:rPr>
          <w:b/>
          <w:bCs/>
        </w:rPr>
        <w:t>Exa 9.2E.xlsx</w:t>
      </w:r>
      <w:r w:rsidRPr="00680513">
        <w:t>.</w:t>
      </w:r>
    </w:p>
    <w:p w14:paraId="399546BF" w14:textId="6E7BF0FB" w:rsidR="00F7165E" w:rsidRDefault="00F7165E" w:rsidP="00856FF7">
      <w:pPr>
        <w:jc w:val="center"/>
      </w:pPr>
      <w:r>
        <w:rPr>
          <w:noProof/>
        </w:rPr>
        <w:lastRenderedPageBreak/>
        <w:drawing>
          <wp:inline distT="0" distB="0" distL="0" distR="0" wp14:anchorId="23D8B230" wp14:editId="4B38AF95">
            <wp:extent cx="4572000" cy="2743200"/>
            <wp:effectExtent l="0" t="0" r="0" b="0"/>
            <wp:docPr id="1006867559" name="Chart 1">
              <a:extLst xmlns:a="http://schemas.openxmlformats.org/drawingml/2006/main">
                <a:ext uri="{FF2B5EF4-FFF2-40B4-BE49-F238E27FC236}">
                  <a16:creationId xmlns:a16="http://schemas.microsoft.com/office/drawing/2014/main" id="{545EB60A-335C-4188-ECA6-421C55271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5C344E" w14:textId="62DCE14B" w:rsidR="00B52B1A" w:rsidRDefault="004029FE" w:rsidP="00856FF7">
      <w:pPr>
        <w:jc w:val="both"/>
      </w:pPr>
      <w:r w:rsidRPr="004029FE">
        <w:t xml:space="preserve">The data reveals striking differences in heather distribution between the two locations. In Location A, </w:t>
      </w:r>
      <w:r>
        <w:t>heather</w:t>
      </w:r>
      <w:r w:rsidRPr="004029FE">
        <w:t xml:space="preserve"> thrives, appearing abundant in 46.4% of observations and sparse in 39.3%, with only 14.3% absence. This contrasts sharply with Location B, where </w:t>
      </w:r>
      <w:r>
        <w:t>heather</w:t>
      </w:r>
      <w:r w:rsidRPr="004029FE">
        <w:t xml:space="preserve"> is absent in 45.5% of cases and abundant in just 22.7%. The patterns suggest Location A offers superior growing conditions, possibly due to </w:t>
      </w:r>
      <w:r w:rsidRPr="004029FE">
        <w:t>favourable</w:t>
      </w:r>
      <w:r w:rsidRPr="004029FE">
        <w:t xml:space="preserve"> soil, light, or moisture levels. Location B's high absence rate indicates potential environmental limitations or disturbances. These findings highlight Location A as a priority conservation area, while Location B may require habitat improvements to support heather growth.</w:t>
      </w:r>
    </w:p>
    <w:p w14:paraId="3760754C" w14:textId="77777777" w:rsidR="00B52B1A" w:rsidRDefault="00B52B1A" w:rsidP="00856FF7">
      <w:pPr>
        <w:jc w:val="both"/>
      </w:pPr>
    </w:p>
    <w:p w14:paraId="0953453A" w14:textId="11E830A4" w:rsidR="00B52B1A" w:rsidRPr="00CA09E7" w:rsidRDefault="00FC60EB" w:rsidP="00856FF7">
      <w:pPr>
        <w:jc w:val="both"/>
        <w:rPr>
          <w:b/>
          <w:bCs/>
        </w:rPr>
      </w:pPr>
      <w:r w:rsidRPr="00CA09E7">
        <w:rPr>
          <w:b/>
          <w:bCs/>
        </w:rPr>
        <w:t>Exercise 9.3:</w:t>
      </w:r>
    </w:p>
    <w:p w14:paraId="49C7B26E" w14:textId="793AF32E" w:rsidR="00FC60EB" w:rsidRDefault="008A5B28" w:rsidP="00856FF7">
      <w:pPr>
        <w:jc w:val="both"/>
      </w:pPr>
      <w:r w:rsidRPr="008A5B28">
        <w:t>This exercise involves comparing weight loss patterns between Diet A and Diet B using relative frequency histograms. The workbook </w:t>
      </w:r>
      <w:r w:rsidRPr="008A5B28">
        <w:rPr>
          <w:i/>
          <w:iCs/>
        </w:rPr>
        <w:t>Exe 9.3B.xlsx</w:t>
      </w:r>
      <w:r w:rsidRPr="008A5B28">
        <w:t> contains Diet A's histogram and partial statistics for Diet B.</w:t>
      </w:r>
    </w:p>
    <w:p w14:paraId="4C2D3A97" w14:textId="65445379" w:rsidR="0033326D" w:rsidRDefault="00A87E1A" w:rsidP="00856FF7">
      <w:pPr>
        <w:jc w:val="center"/>
      </w:pPr>
      <w:r>
        <w:rPr>
          <w:noProof/>
        </w:rPr>
        <w:drawing>
          <wp:inline distT="0" distB="0" distL="0" distR="0" wp14:anchorId="09432CFD" wp14:editId="3C1F4013">
            <wp:extent cx="4599214" cy="3181350"/>
            <wp:effectExtent l="0" t="0" r="11430" b="0"/>
            <wp:docPr id="898463868" name="Chart 1">
              <a:extLst xmlns:a="http://schemas.openxmlformats.org/drawingml/2006/main">
                <a:ext uri="{FF2B5EF4-FFF2-40B4-BE49-F238E27FC236}">
                  <a16:creationId xmlns:a16="http://schemas.microsoft.com/office/drawing/2014/main" id="{3B5D57CA-E92C-668B-17CD-6DABFC1AF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C8906D" w14:textId="7B9090AA" w:rsidR="0033326D" w:rsidRDefault="0033326D" w:rsidP="00856FF7">
      <w:pPr>
        <w:jc w:val="both"/>
      </w:pPr>
      <w:r w:rsidRPr="0033326D">
        <w:lastRenderedPageBreak/>
        <w:t>This distribution shows weight loss results peaking at 2-4 kg (30% frequency), with declining frequencies for greater losses. The left-skewed pattern indicates most participants achieved moderate losses (2-6 kg, 72% combined), while higher losses (8+ kg) were rare (6%). Notably, 6% of cases showed weight gain (negative values). Compared to Diet A's symmetric distribution, these results suggest: (1) less consistent outcomes, (2) lower effectiveness for significant weight reduction, and (3) greater variability in individual responses. The skewness and negative values imply this diet may work well for some but be ineffective for others, possibly due to adherence or metabolic differences. Direct comparison with Diet A would clarify relative performance.</w:t>
      </w:r>
    </w:p>
    <w:p w14:paraId="31628AB8" w14:textId="77777777" w:rsidR="00256BF5" w:rsidRDefault="00256BF5" w:rsidP="00856FF7">
      <w:pPr>
        <w:jc w:val="both"/>
      </w:pPr>
    </w:p>
    <w:p w14:paraId="63746DE5" w14:textId="5EC11C2B" w:rsidR="00A43E10" w:rsidRPr="00256BF5" w:rsidRDefault="00256BF5" w:rsidP="00856FF7">
      <w:pPr>
        <w:jc w:val="both"/>
        <w:rPr>
          <w:b/>
          <w:bCs/>
        </w:rPr>
      </w:pPr>
      <w:r w:rsidRPr="00256BF5">
        <w:rPr>
          <w:b/>
          <w:bCs/>
        </w:rPr>
        <w:t>Exercise 9.4:</w:t>
      </w:r>
    </w:p>
    <w:p w14:paraId="3690740E" w14:textId="023267B7" w:rsidR="00256BF5" w:rsidRDefault="000B5947" w:rsidP="00856FF7">
      <w:pPr>
        <w:jc w:val="both"/>
      </w:pPr>
      <w:r w:rsidRPr="000B5947">
        <w:t xml:space="preserve">This exercise involves </w:t>
      </w:r>
      <w:r w:rsidRPr="000B5947">
        <w:t>analysing</w:t>
      </w:r>
      <w:r w:rsidRPr="000B5947">
        <w:t xml:space="preserve"> and comparing brand preferences across two demographic areas using Excel. </w:t>
      </w:r>
      <w:r>
        <w:t>I</w:t>
      </w:r>
      <w:r w:rsidRPr="000B5947">
        <w:t xml:space="preserve"> will work with the file </w:t>
      </w:r>
      <w:r w:rsidRPr="000B5947">
        <w:rPr>
          <w:i/>
          <w:iCs/>
        </w:rPr>
        <w:t>Exa 9.1D.xlsx</w:t>
      </w:r>
      <w:r w:rsidRPr="000B5947">
        <w:t>, which contains percentage frequency data and a pre-existing bar chart for </w:t>
      </w:r>
      <w:r w:rsidRPr="000B5947">
        <w:rPr>
          <w:b/>
          <w:bCs/>
        </w:rPr>
        <w:t>Area 1</w:t>
      </w:r>
      <w:r w:rsidRPr="000B5947">
        <w:t>. </w:t>
      </w:r>
    </w:p>
    <w:p w14:paraId="5A63CDD8" w14:textId="39996089" w:rsidR="00A43E10" w:rsidRDefault="00110F02" w:rsidP="00856FF7">
      <w:pPr>
        <w:jc w:val="center"/>
      </w:pPr>
      <w:r>
        <w:rPr>
          <w:noProof/>
        </w:rPr>
        <w:drawing>
          <wp:inline distT="0" distB="0" distL="0" distR="0" wp14:anchorId="4C19389E" wp14:editId="7E9DDEDC">
            <wp:extent cx="4572000" cy="2743200"/>
            <wp:effectExtent l="0" t="0" r="0" b="0"/>
            <wp:docPr id="354518617" name="Chart 1">
              <a:extLst xmlns:a="http://schemas.openxmlformats.org/drawingml/2006/main">
                <a:ext uri="{FF2B5EF4-FFF2-40B4-BE49-F238E27FC236}">
                  <a16:creationId xmlns:a16="http://schemas.microsoft.com/office/drawing/2014/main" id="{FE0EBAE1-BC3C-4C78-16D5-F26D62CE9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753528" w14:textId="4C84F815" w:rsidR="00110F02" w:rsidRPr="005F5072" w:rsidRDefault="00DB1971" w:rsidP="00856FF7">
      <w:pPr>
        <w:jc w:val="both"/>
      </w:pPr>
      <w:r w:rsidRPr="005F5072">
        <w:t>The bar chart for Area 2 reveals distinct brand preferences, with Brand A dominating at 50%, significantly outperforming Brand B (20%) and Other brands (30%). This suggests strong brand loyalty or effective marketing for Brand A in this demographic. The preference distribution is highly skewed, with Brand A capturing half of the market share, while Brand B </w:t>
      </w:r>
      <w:proofErr w:type="gramStart"/>
      <w:r w:rsidRPr="005F5072">
        <w:t>lags behind</w:t>
      </w:r>
      <w:proofErr w:type="gramEnd"/>
      <w:r w:rsidRPr="005F5072">
        <w:t xml:space="preserve">, and Other brands collectively hold a notable but fragmented portion. Compared to Area 1 (if data shows different trends), this could indicate regional variations in consumer </w:t>
      </w:r>
      <w:r w:rsidR="005F5072" w:rsidRPr="005F5072">
        <w:t>behaviour</w:t>
      </w:r>
      <w:r w:rsidRPr="005F5072">
        <w:t>, potentially influenced by local advertising, product availability, or cultural preferences. Further analysis could explore why Brand A resonates so strongly in Area 2 while other brands struggle to compete.</w:t>
      </w:r>
    </w:p>
    <w:p w14:paraId="4BD1EF8A" w14:textId="75226235" w:rsidR="005F5072" w:rsidRDefault="005F5072"/>
    <w:sectPr w:rsidR="005F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F2"/>
    <w:rsid w:val="00097CB3"/>
    <w:rsid w:val="000B5947"/>
    <w:rsid w:val="00110F02"/>
    <w:rsid w:val="001844B5"/>
    <w:rsid w:val="00256BF5"/>
    <w:rsid w:val="0033326D"/>
    <w:rsid w:val="004029FE"/>
    <w:rsid w:val="00410306"/>
    <w:rsid w:val="004C5AFF"/>
    <w:rsid w:val="00506278"/>
    <w:rsid w:val="0054674E"/>
    <w:rsid w:val="005629D4"/>
    <w:rsid w:val="005701F2"/>
    <w:rsid w:val="005F5072"/>
    <w:rsid w:val="006567B7"/>
    <w:rsid w:val="00680513"/>
    <w:rsid w:val="006E63EF"/>
    <w:rsid w:val="007845B9"/>
    <w:rsid w:val="00793BAA"/>
    <w:rsid w:val="00856FF7"/>
    <w:rsid w:val="008A5B28"/>
    <w:rsid w:val="00950C1E"/>
    <w:rsid w:val="009D210F"/>
    <w:rsid w:val="009E6107"/>
    <w:rsid w:val="00A43E10"/>
    <w:rsid w:val="00A87E1A"/>
    <w:rsid w:val="00B52B1A"/>
    <w:rsid w:val="00C57D3D"/>
    <w:rsid w:val="00CA09E7"/>
    <w:rsid w:val="00DB1971"/>
    <w:rsid w:val="00E948E9"/>
    <w:rsid w:val="00F7165E"/>
    <w:rsid w:val="00FC60EB"/>
    <w:rsid w:val="00FD6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3151"/>
  <w15:chartTrackingRefBased/>
  <w15:docId w15:val="{BF3DAD53-79F6-46E3-910F-51EAF8BD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1F2"/>
    <w:rPr>
      <w:rFonts w:eastAsiaTheme="majorEastAsia" w:cstheme="majorBidi"/>
      <w:color w:val="272727" w:themeColor="text1" w:themeTint="D8"/>
    </w:rPr>
  </w:style>
  <w:style w:type="paragraph" w:styleId="Title">
    <w:name w:val="Title"/>
    <w:basedOn w:val="Normal"/>
    <w:next w:val="Normal"/>
    <w:link w:val="TitleChar"/>
    <w:uiPriority w:val="10"/>
    <w:qFormat/>
    <w:rsid w:val="00570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1F2"/>
    <w:pPr>
      <w:spacing w:before="160"/>
      <w:jc w:val="center"/>
    </w:pPr>
    <w:rPr>
      <w:i/>
      <w:iCs/>
      <w:color w:val="404040" w:themeColor="text1" w:themeTint="BF"/>
    </w:rPr>
  </w:style>
  <w:style w:type="character" w:customStyle="1" w:styleId="QuoteChar">
    <w:name w:val="Quote Char"/>
    <w:basedOn w:val="DefaultParagraphFont"/>
    <w:link w:val="Quote"/>
    <w:uiPriority w:val="29"/>
    <w:rsid w:val="005701F2"/>
    <w:rPr>
      <w:i/>
      <w:iCs/>
      <w:color w:val="404040" w:themeColor="text1" w:themeTint="BF"/>
    </w:rPr>
  </w:style>
  <w:style w:type="paragraph" w:styleId="ListParagraph">
    <w:name w:val="List Paragraph"/>
    <w:basedOn w:val="Normal"/>
    <w:uiPriority w:val="34"/>
    <w:qFormat/>
    <w:rsid w:val="005701F2"/>
    <w:pPr>
      <w:ind w:left="720"/>
      <w:contextualSpacing/>
    </w:pPr>
  </w:style>
  <w:style w:type="character" w:styleId="IntenseEmphasis">
    <w:name w:val="Intense Emphasis"/>
    <w:basedOn w:val="DefaultParagraphFont"/>
    <w:uiPriority w:val="21"/>
    <w:qFormat/>
    <w:rsid w:val="005701F2"/>
    <w:rPr>
      <w:i/>
      <w:iCs/>
      <w:color w:val="0F4761" w:themeColor="accent1" w:themeShade="BF"/>
    </w:rPr>
  </w:style>
  <w:style w:type="paragraph" w:styleId="IntenseQuote">
    <w:name w:val="Intense Quote"/>
    <w:basedOn w:val="Normal"/>
    <w:next w:val="Normal"/>
    <w:link w:val="IntenseQuoteChar"/>
    <w:uiPriority w:val="30"/>
    <w:qFormat/>
    <w:rsid w:val="00570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1F2"/>
    <w:rPr>
      <w:i/>
      <w:iCs/>
      <w:color w:val="0F4761" w:themeColor="accent1" w:themeShade="BF"/>
    </w:rPr>
  </w:style>
  <w:style w:type="character" w:styleId="IntenseReference">
    <w:name w:val="Intense Reference"/>
    <w:basedOn w:val="DefaultParagraphFont"/>
    <w:uiPriority w:val="32"/>
    <w:qFormat/>
    <w:rsid w:val="005701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oleObject" Target="file:///C:\Users\nimas\Downloads\Heather.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mas\Downloads\Exa%209.3B.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mas\Downloads\Exa%209.1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Area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Sheet1!$D$15:$D$17</c:f>
              <c:strCache>
                <c:ptCount val="3"/>
                <c:pt idx="0">
                  <c:v>A</c:v>
                </c:pt>
                <c:pt idx="1">
                  <c:v>B</c:v>
                </c:pt>
                <c:pt idx="2">
                  <c:v>Other</c:v>
                </c:pt>
              </c:strCache>
            </c:strRef>
          </c:cat>
          <c:val>
            <c:numRef>
              <c:f>Sheet1!$F$15:$F$17</c:f>
              <c:numCache>
                <c:formatCode>#,##0.0</c:formatCode>
                <c:ptCount val="3"/>
                <c:pt idx="0">
                  <c:v>21.111111111111111</c:v>
                </c:pt>
                <c:pt idx="1">
                  <c:v>33.333333333333336</c:v>
                </c:pt>
                <c:pt idx="2">
                  <c:v>45.555555555555557</c:v>
                </c:pt>
              </c:numCache>
            </c:numRef>
          </c:val>
          <c:extLst>
            <c:ext xmlns:c16="http://schemas.microsoft.com/office/drawing/2014/chart" uri="{C3380CC4-5D6E-409C-BE32-E72D297353CC}">
              <c16:uniqueId val="{00000000-5F63-4994-AC23-6034C254F866}"/>
            </c:ext>
          </c:extLst>
        </c:ser>
        <c:dLbls>
          <c:showLegendKey val="0"/>
          <c:showVal val="0"/>
          <c:showCatName val="0"/>
          <c:showSerName val="0"/>
          <c:showPercent val="0"/>
          <c:showBubbleSize val="0"/>
        </c:dLbls>
        <c:gapWidth val="219"/>
        <c:overlap val="-27"/>
        <c:axId val="730069295"/>
        <c:axId val="730074095"/>
      </c:barChart>
      <c:catAx>
        <c:axId val="730069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Brand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74095"/>
        <c:crosses val="autoZero"/>
        <c:auto val="1"/>
        <c:lblAlgn val="ctr"/>
        <c:lblOffset val="100"/>
        <c:noMultiLvlLbl val="0"/>
      </c:catAx>
      <c:valAx>
        <c:axId val="73007409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69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Area 1</a:t>
            </a:r>
          </a:p>
        </c:rich>
      </c:tx>
      <c:overlay val="0"/>
    </c:title>
    <c:autoTitleDeleted val="0"/>
    <c:plotArea>
      <c:layout/>
      <c:barChart>
        <c:barDir val="col"/>
        <c:grouping val="clustered"/>
        <c:varyColors val="0"/>
        <c:ser>
          <c:idx val="0"/>
          <c:order val="0"/>
          <c:invertIfNegative val="0"/>
          <c:cat>
            <c:strRef>
              <c:f>Sheet1!$D$15:$D$17</c:f>
              <c:strCache>
                <c:ptCount val="3"/>
                <c:pt idx="0">
                  <c:v>A</c:v>
                </c:pt>
                <c:pt idx="1">
                  <c:v>B</c:v>
                </c:pt>
                <c:pt idx="2">
                  <c:v>Other</c:v>
                </c:pt>
              </c:strCache>
            </c:strRef>
          </c:cat>
          <c:val>
            <c:numRef>
              <c:f>Sheet1!$E$15:$E$17</c:f>
              <c:numCache>
                <c:formatCode>#,##0.0</c:formatCode>
                <c:ptCount val="3"/>
                <c:pt idx="0">
                  <c:v>15.714285714285714</c:v>
                </c:pt>
                <c:pt idx="1">
                  <c:v>24.285714285714285</c:v>
                </c:pt>
                <c:pt idx="2">
                  <c:v>60</c:v>
                </c:pt>
              </c:numCache>
            </c:numRef>
          </c:val>
          <c:extLst>
            <c:ext xmlns:c16="http://schemas.microsoft.com/office/drawing/2014/chart" uri="{C3380CC4-5D6E-409C-BE32-E72D297353CC}">
              <c16:uniqueId val="{00000000-36F5-4C4F-BEBD-1470F609BD3A}"/>
            </c:ext>
          </c:extLst>
        </c:ser>
        <c:dLbls>
          <c:showLegendKey val="0"/>
          <c:showVal val="0"/>
          <c:showCatName val="0"/>
          <c:showSerName val="0"/>
          <c:showPercent val="0"/>
          <c:showBubbleSize val="0"/>
        </c:dLbls>
        <c:gapWidth val="150"/>
        <c:axId val="95354240"/>
        <c:axId val="115398528"/>
      </c:barChart>
      <c:catAx>
        <c:axId val="95354240"/>
        <c:scaling>
          <c:orientation val="minMax"/>
        </c:scaling>
        <c:delete val="0"/>
        <c:axPos val="b"/>
        <c:title>
          <c:tx>
            <c:rich>
              <a:bodyPr/>
              <a:lstStyle/>
              <a:p>
                <a:pPr>
                  <a:defRPr/>
                </a:pPr>
                <a:r>
                  <a:rPr lang="en-GB"/>
                  <a:t>Brand</a:t>
                </a:r>
              </a:p>
            </c:rich>
          </c:tx>
          <c:overlay val="0"/>
        </c:title>
        <c:numFmt formatCode="General" sourceLinked="0"/>
        <c:majorTickMark val="out"/>
        <c:minorTickMark val="none"/>
        <c:tickLblPos val="nextTo"/>
        <c:crossAx val="115398528"/>
        <c:crosses val="autoZero"/>
        <c:auto val="1"/>
        <c:lblAlgn val="ctr"/>
        <c:lblOffset val="100"/>
        <c:noMultiLvlLbl val="0"/>
      </c:catAx>
      <c:valAx>
        <c:axId val="115398528"/>
        <c:scaling>
          <c:orientation val="minMax"/>
        </c:scaling>
        <c:delete val="0"/>
        <c:axPos val="l"/>
        <c:title>
          <c:tx>
            <c:rich>
              <a:bodyPr rot="-5400000" vert="horz"/>
              <a:lstStyle/>
              <a:p>
                <a:pPr>
                  <a:defRPr/>
                </a:pPr>
                <a:r>
                  <a:rPr lang="en-US"/>
                  <a:t>Percentage</a:t>
                </a:r>
              </a:p>
            </c:rich>
          </c:tx>
          <c:overlay val="0"/>
        </c:title>
        <c:numFmt formatCode="#,##0.0" sourceLinked="1"/>
        <c:majorTickMark val="out"/>
        <c:minorTickMark val="none"/>
        <c:tickLblPos val="nextTo"/>
        <c:crossAx val="95354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Heather Species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Location A</c:v>
                </c:pt>
              </c:strCache>
            </c:strRef>
          </c:tx>
          <c:spPr>
            <a:solidFill>
              <a:schemeClr val="accent1"/>
            </a:solidFill>
            <a:ln>
              <a:noFill/>
            </a:ln>
            <a:effectLst/>
          </c:spPr>
          <c:invertIfNegative val="0"/>
          <c:cat>
            <c:strRef>
              <c:f>Sheet1!$A$12:$A$14</c:f>
              <c:strCache>
                <c:ptCount val="3"/>
                <c:pt idx="0">
                  <c:v>Absent</c:v>
                </c:pt>
                <c:pt idx="1">
                  <c:v>Sparse</c:v>
                </c:pt>
                <c:pt idx="2">
                  <c:v>Abundant</c:v>
                </c:pt>
              </c:strCache>
            </c:strRef>
          </c:cat>
          <c:val>
            <c:numRef>
              <c:f>Sheet1!$B$12:$B$14</c:f>
              <c:numCache>
                <c:formatCode>#,##0.0</c:formatCode>
                <c:ptCount val="3"/>
                <c:pt idx="0">
                  <c:v>14.285714285714286</c:v>
                </c:pt>
                <c:pt idx="1">
                  <c:v>39.285714285714285</c:v>
                </c:pt>
                <c:pt idx="2">
                  <c:v>46.428571428571431</c:v>
                </c:pt>
              </c:numCache>
            </c:numRef>
          </c:val>
          <c:extLst>
            <c:ext xmlns:c16="http://schemas.microsoft.com/office/drawing/2014/chart" uri="{C3380CC4-5D6E-409C-BE32-E72D297353CC}">
              <c16:uniqueId val="{00000000-69C0-443A-89C4-E3706B580D9B}"/>
            </c:ext>
          </c:extLst>
        </c:ser>
        <c:ser>
          <c:idx val="1"/>
          <c:order val="1"/>
          <c:tx>
            <c:strRef>
              <c:f>Sheet1!$C$11</c:f>
              <c:strCache>
                <c:ptCount val="1"/>
                <c:pt idx="0">
                  <c:v>Location B</c:v>
                </c:pt>
              </c:strCache>
            </c:strRef>
          </c:tx>
          <c:spPr>
            <a:solidFill>
              <a:schemeClr val="accent2"/>
            </a:solidFill>
            <a:ln>
              <a:noFill/>
            </a:ln>
            <a:effectLst/>
          </c:spPr>
          <c:invertIfNegative val="0"/>
          <c:cat>
            <c:strRef>
              <c:f>Sheet1!$A$12:$A$14</c:f>
              <c:strCache>
                <c:ptCount val="3"/>
                <c:pt idx="0">
                  <c:v>Absent</c:v>
                </c:pt>
                <c:pt idx="1">
                  <c:v>Sparse</c:v>
                </c:pt>
                <c:pt idx="2">
                  <c:v>Abundant</c:v>
                </c:pt>
              </c:strCache>
            </c:strRef>
          </c:cat>
          <c:val>
            <c:numRef>
              <c:f>Sheet1!$C$12:$C$14</c:f>
              <c:numCache>
                <c:formatCode>#,##0.0</c:formatCode>
                <c:ptCount val="3"/>
                <c:pt idx="0">
                  <c:v>45.454545454545453</c:v>
                </c:pt>
                <c:pt idx="1">
                  <c:v>31.818181818181817</c:v>
                </c:pt>
                <c:pt idx="2">
                  <c:v>22.727272727272727</c:v>
                </c:pt>
              </c:numCache>
            </c:numRef>
          </c:val>
          <c:extLst>
            <c:ext xmlns:c16="http://schemas.microsoft.com/office/drawing/2014/chart" uri="{C3380CC4-5D6E-409C-BE32-E72D297353CC}">
              <c16:uniqueId val="{00000001-69C0-443A-89C4-E3706B580D9B}"/>
            </c:ext>
          </c:extLst>
        </c:ser>
        <c:dLbls>
          <c:showLegendKey val="0"/>
          <c:showVal val="0"/>
          <c:showCatName val="0"/>
          <c:showSerName val="0"/>
          <c:showPercent val="0"/>
          <c:showBubbleSize val="0"/>
        </c:dLbls>
        <c:gapWidth val="219"/>
        <c:overlap val="-27"/>
        <c:axId val="1361690336"/>
        <c:axId val="1361692256"/>
      </c:barChart>
      <c:catAx>
        <c:axId val="136169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692256"/>
        <c:crosses val="autoZero"/>
        <c:auto val="1"/>
        <c:lblAlgn val="ctr"/>
        <c:lblOffset val="100"/>
        <c:noMultiLvlLbl val="0"/>
      </c:catAx>
      <c:valAx>
        <c:axId val="136169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Perecentgae 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69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Diet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Diets!$L$39:$L$40</c:f>
              <c:strCache>
                <c:ptCount val="2"/>
                <c:pt idx="0">
                  <c:v>Relative</c:v>
                </c:pt>
                <c:pt idx="1">
                  <c:v>Frequency</c:v>
                </c:pt>
              </c:strCache>
            </c:strRef>
          </c:tx>
          <c:spPr>
            <a:solidFill>
              <a:schemeClr val="accent1"/>
            </a:solidFill>
            <a:ln w="0">
              <a:solidFill>
                <a:schemeClr val="tx1"/>
              </a:solidFill>
            </a:ln>
            <a:effectLst/>
          </c:spPr>
          <c:invertIfNegative val="0"/>
          <c:cat>
            <c:numRef>
              <c:f>Diets!$K$41:$K$47</c:f>
              <c:numCache>
                <c:formatCode>General</c:formatCode>
                <c:ptCount val="7"/>
                <c:pt idx="0">
                  <c:v>-1</c:v>
                </c:pt>
                <c:pt idx="1">
                  <c:v>1</c:v>
                </c:pt>
                <c:pt idx="2">
                  <c:v>3</c:v>
                </c:pt>
                <c:pt idx="3">
                  <c:v>5</c:v>
                </c:pt>
                <c:pt idx="4">
                  <c:v>7</c:v>
                </c:pt>
                <c:pt idx="5">
                  <c:v>9</c:v>
                </c:pt>
                <c:pt idx="6">
                  <c:v>11</c:v>
                </c:pt>
              </c:numCache>
            </c:numRef>
          </c:cat>
          <c:val>
            <c:numRef>
              <c:f>Diets!$L$41:$L$47</c:f>
              <c:numCache>
                <c:formatCode>General</c:formatCode>
                <c:ptCount val="7"/>
                <c:pt idx="0">
                  <c:v>0.06</c:v>
                </c:pt>
                <c:pt idx="1">
                  <c:v>0.2</c:v>
                </c:pt>
                <c:pt idx="2">
                  <c:v>0.3</c:v>
                </c:pt>
                <c:pt idx="3">
                  <c:v>0.22</c:v>
                </c:pt>
                <c:pt idx="4">
                  <c:v>0.16</c:v>
                </c:pt>
                <c:pt idx="5">
                  <c:v>0.04</c:v>
                </c:pt>
                <c:pt idx="6">
                  <c:v>0.02</c:v>
                </c:pt>
              </c:numCache>
            </c:numRef>
          </c:val>
          <c:extLst>
            <c:ext xmlns:c16="http://schemas.microsoft.com/office/drawing/2014/chart" uri="{C3380CC4-5D6E-409C-BE32-E72D297353CC}">
              <c16:uniqueId val="{00000000-A221-48B5-B33B-31D89F0CFD1D}"/>
            </c:ext>
          </c:extLst>
        </c:ser>
        <c:dLbls>
          <c:showLegendKey val="0"/>
          <c:showVal val="0"/>
          <c:showCatName val="0"/>
          <c:showSerName val="0"/>
          <c:showPercent val="0"/>
          <c:showBubbleSize val="0"/>
        </c:dLbls>
        <c:gapWidth val="0"/>
        <c:axId val="2003731312"/>
        <c:axId val="2003730352"/>
      </c:barChart>
      <c:catAx>
        <c:axId val="200373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Weight</a:t>
                </a:r>
                <a:r>
                  <a:rPr lang="en-GB" baseline="0"/>
                  <a:t> Loss (kg)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730352"/>
        <c:crosses val="autoZero"/>
        <c:auto val="1"/>
        <c:lblAlgn val="ctr"/>
        <c:lblOffset val="100"/>
        <c:noMultiLvlLbl val="0"/>
      </c:catAx>
      <c:valAx>
        <c:axId val="20037303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Relative 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731312"/>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Area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Sheet1!$D$15:$D$17</c:f>
              <c:strCache>
                <c:ptCount val="3"/>
                <c:pt idx="0">
                  <c:v>A</c:v>
                </c:pt>
                <c:pt idx="1">
                  <c:v>B</c:v>
                </c:pt>
                <c:pt idx="2">
                  <c:v>Other</c:v>
                </c:pt>
              </c:strCache>
            </c:strRef>
          </c:cat>
          <c:val>
            <c:numRef>
              <c:f>Sheet1!$F$15:$F$17</c:f>
              <c:numCache>
                <c:formatCode>#,##0.0</c:formatCode>
                <c:ptCount val="3"/>
                <c:pt idx="0">
                  <c:v>21.111111111111111</c:v>
                </c:pt>
                <c:pt idx="1">
                  <c:v>33.333333333333336</c:v>
                </c:pt>
                <c:pt idx="2">
                  <c:v>45.555555555555557</c:v>
                </c:pt>
              </c:numCache>
            </c:numRef>
          </c:val>
          <c:extLst>
            <c:ext xmlns:c16="http://schemas.microsoft.com/office/drawing/2014/chart" uri="{C3380CC4-5D6E-409C-BE32-E72D297353CC}">
              <c16:uniqueId val="{00000000-D52C-41EE-BD25-313C32047144}"/>
            </c:ext>
          </c:extLst>
        </c:ser>
        <c:dLbls>
          <c:showLegendKey val="0"/>
          <c:showVal val="0"/>
          <c:showCatName val="0"/>
          <c:showSerName val="0"/>
          <c:showPercent val="0"/>
          <c:showBubbleSize val="0"/>
        </c:dLbls>
        <c:gapWidth val="219"/>
        <c:overlap val="-27"/>
        <c:axId val="430305215"/>
        <c:axId val="430305695"/>
      </c:barChart>
      <c:catAx>
        <c:axId val="43030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305695"/>
        <c:crosses val="autoZero"/>
        <c:auto val="1"/>
        <c:lblAlgn val="ctr"/>
        <c:lblOffset val="100"/>
        <c:noMultiLvlLbl val="0"/>
      </c:catAx>
      <c:valAx>
        <c:axId val="43030569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30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4546</TotalTime>
  <Pages>3</Pages>
  <Words>524</Words>
  <Characters>2894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22</cp:revision>
  <dcterms:created xsi:type="dcterms:W3CDTF">2025-03-28T18:18:00Z</dcterms:created>
  <dcterms:modified xsi:type="dcterms:W3CDTF">2025-04-01T16:40:00Z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82dc18c8-504a-44d3-9a3a-45dd6f739494</vt:lpwstr>
  </property>
</Properties>
</file>