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berschrift2"/>
      </w:pPr>
      <w:r w:rsidRPr="00BC59C8">
        <w:lastRenderedPageBreak/>
        <w:t>TABLE OF CONTENTS</w:t>
      </w:r>
      <w:r w:rsidR="00F7298C" w:rsidRPr="00BC59C8">
        <w:t xml:space="preserve"> </w:t>
      </w:r>
    </w:p>
    <w:p w14:paraId="075D3CC6" w14:textId="1656CE39" w:rsidR="005B640C" w:rsidRPr="005B640C" w:rsidRDefault="00E80315">
      <w:pPr>
        <w:pStyle w:val="Verzeichnis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Verzeichnis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Verzeichnis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Verzeichnis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Verzeichnis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Default="005B640C">
      <w:pPr>
        <w:pStyle w:val="Verzeichnis3"/>
        <w:rPr>
          <w:rFonts w:asciiTheme="minorHAnsi" w:eastAsiaTheme="minorEastAsia" w:hAnsiTheme="minorHAnsi" w:cstheme="minorBidi"/>
          <w:noProof/>
          <w:kern w:val="2"/>
          <w:lang w:val="de-DE" w:eastAsia="de-DE"/>
          <w14:ligatures w14:val="standardContextual"/>
        </w:rPr>
      </w:pPr>
      <w:r>
        <w:rPr>
          <w:noProof/>
        </w:rPr>
        <w:t>3.4.7 Fish Tank Temperature</w:t>
      </w:r>
      <w:r>
        <w:rPr>
          <w:noProof/>
        </w:rPr>
        <w:tab/>
      </w:r>
      <w:r>
        <w:rPr>
          <w:noProof/>
        </w:rPr>
        <w:fldChar w:fldCharType="begin"/>
      </w:r>
      <w:r>
        <w:rPr>
          <w:noProof/>
        </w:rPr>
        <w:instrText xml:space="preserve"> PAGEREF _Toc225009486 \h </w:instrText>
      </w:r>
      <w:r>
        <w:rPr>
          <w:noProof/>
        </w:rPr>
      </w:r>
      <w:r>
        <w:rPr>
          <w:noProof/>
        </w:rPr>
        <w:fldChar w:fldCharType="separate"/>
      </w:r>
      <w:r>
        <w:rPr>
          <w:noProof/>
        </w:rPr>
        <w:t>12</w:t>
      </w:r>
      <w:r>
        <w:rPr>
          <w:noProof/>
        </w:rPr>
        <w:fldChar w:fldCharType="end"/>
      </w:r>
    </w:p>
    <w:p w14:paraId="2B0CD21A" w14:textId="65A9DF15" w:rsidR="005B640C" w:rsidRDefault="005B640C">
      <w:pPr>
        <w:pStyle w:val="Verzeichnis1"/>
        <w:rPr>
          <w:rFonts w:asciiTheme="minorHAnsi" w:eastAsiaTheme="minorEastAsia" w:hAnsiTheme="minorHAnsi" w:cstheme="minorBidi"/>
          <w:kern w:val="2"/>
          <w:lang w:val="de-DE" w:eastAsia="de-DE"/>
          <w14:ligatures w14:val="standardContextual"/>
        </w:rPr>
      </w:pPr>
      <w:r w:rsidRPr="00646C35">
        <w:rPr>
          <w:rFonts w:eastAsiaTheme="minorEastAsia"/>
          <w:lang w:val="en-GB"/>
        </w:rPr>
        <w:t>4.</w:t>
      </w:r>
      <w:r>
        <w:rPr>
          <w:rFonts w:asciiTheme="minorHAnsi" w:eastAsiaTheme="minorEastAsia" w:hAnsiTheme="minorHAnsi" w:cstheme="minorBidi"/>
          <w:kern w:val="2"/>
          <w:lang w:val="de-DE" w:eastAsia="de-DE"/>
          <w14:ligatures w14:val="standardContextual"/>
        </w:rPr>
        <w:tab/>
      </w:r>
      <w:r w:rsidRPr="00646C35">
        <w:rPr>
          <w:rFonts w:eastAsiaTheme="minorEastAsia"/>
          <w:lang w:val="en-GB"/>
        </w:rPr>
        <w:t>Bibliography</w:t>
      </w:r>
      <w:r>
        <w:tab/>
      </w:r>
      <w:r>
        <w:fldChar w:fldCharType="begin"/>
      </w:r>
      <w:r>
        <w:instrText xml:space="preserve"> PAGEREF _Toc225009487 \h </w:instrText>
      </w:r>
      <w:r>
        <w:fldChar w:fldCharType="separate"/>
      </w:r>
      <w: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berschrift2"/>
        <w:rPr>
          <w:rStyle w:val="Fett"/>
        </w:rPr>
      </w:pPr>
      <w:bookmarkStart w:id="4" w:name="_Toc225009468"/>
      <w:bookmarkEnd w:id="1"/>
      <w:bookmarkEnd w:id="2"/>
      <w:bookmarkEnd w:id="3"/>
      <w:r w:rsidRPr="003D75E5">
        <w:rPr>
          <w:rStyle w:val="Fett"/>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The Superfarm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r>
        <w:t>The primary objectives of the model are</w:t>
      </w:r>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enabsatz"/>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Fett"/>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5CC7BCEC" w14:textId="159B595A" w:rsidR="003147A3" w:rsidRPr="003D75E5" w:rsidRDefault="0019154F" w:rsidP="00B10950">
      <w:pPr>
        <w:pStyle w:val="berschrift2"/>
      </w:pPr>
      <w:bookmarkStart w:id="5" w:name="_Toc225009469"/>
      <w:r w:rsidRPr="003D75E5">
        <w:rPr>
          <w:rStyle w:val="Fett"/>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3D980671" w:rsidR="00A84519" w:rsidRDefault="00F124A4" w:rsidP="005B640C">
      <w:pPr>
        <w:ind w:right="-1"/>
        <w:jc w:val="center"/>
        <w:rPr>
          <w:lang w:val="en-US" w:eastAsia="en-US"/>
        </w:rPr>
      </w:pPr>
      <w:r>
        <w:rPr>
          <w:noProof/>
          <w:lang w:val="en-US" w:eastAsia="en-US"/>
        </w:rPr>
        <w:lastRenderedPageBreak/>
        <w:drawing>
          <wp:inline distT="0" distB="0" distL="0" distR="0" wp14:anchorId="0C3C04C1" wp14:editId="365FFDD8">
            <wp:extent cx="5400675" cy="3673475"/>
            <wp:effectExtent l="0" t="0" r="9525" b="3175"/>
            <wp:docPr id="728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361" name="Picture 72848361"/>
                    <pic:cNvPicPr/>
                  </pic:nvPicPr>
                  <pic:blipFill>
                    <a:blip r:embed="rId11">
                      <a:extLst>
                        <a:ext uri="{28A0092B-C50C-407E-A947-70E740481C1C}">
                          <a14:useLocalDpi xmlns:a14="http://schemas.microsoft.com/office/drawing/2010/main" val="0"/>
                        </a:ext>
                      </a:extLst>
                    </a:blip>
                    <a:stretch>
                      <a:fillRect/>
                    </a:stretch>
                  </pic:blipFill>
                  <pic:spPr>
                    <a:xfrm>
                      <a:off x="0" y="0"/>
                      <a:ext cx="5400675" cy="3673475"/>
                    </a:xfrm>
                    <a:prstGeom prst="rect">
                      <a:avLst/>
                    </a:prstGeom>
                  </pic:spPr>
                </pic:pic>
              </a:graphicData>
            </a:graphic>
          </wp:inline>
        </w:drawing>
      </w:r>
    </w:p>
    <w:p w14:paraId="68E0A064" w14:textId="197C90AF" w:rsidR="00A84519" w:rsidRDefault="00A84519" w:rsidP="005B640C">
      <w:pPr>
        <w:pStyle w:val="Beschriftung"/>
        <w:ind w:right="-1"/>
        <w:rPr>
          <w:lang w:val="en-US" w:eastAsia="en-US"/>
        </w:rPr>
      </w:pPr>
      <w:r w:rsidRPr="00A84519">
        <w:rPr>
          <w:lang w:val="en-US" w:eastAsia="en-US"/>
        </w:rPr>
        <w:t>Figure 1: System Dynamics Architecture of the Superfarm Digital Twin in AnyLogic.</w:t>
      </w:r>
    </w:p>
    <w:p w14:paraId="3B1C52FC" w14:textId="63429A0A" w:rsidR="001F08E2" w:rsidRPr="001F08E2" w:rsidRDefault="001F08E2" w:rsidP="005B640C">
      <w:pPr>
        <w:ind w:right="-1"/>
        <w:rPr>
          <w:lang w:val="en-US" w:eastAsia="en-US"/>
        </w:rPr>
      </w:pPr>
      <w:r w:rsidRPr="001F08E2">
        <w:rPr>
          <w:lang w:val="en-US" w:eastAsia="en-US"/>
        </w:rPr>
        <w:t>To ensure a high-fidelity representation of the Superfarm system, the model employs a multilayered modular design:</w:t>
      </w:r>
    </w:p>
    <w:p w14:paraId="4A360365" w14:textId="44C37E95" w:rsidR="000400C9" w:rsidRPr="003D75E5" w:rsidRDefault="00FA3CCD" w:rsidP="00B10950">
      <w:pPr>
        <w:pStyle w:val="berschrift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The electrolyzer acts as the primary source node in the simulation. It takes electrical power input (P_Electrolyzer) and, based on the reaction enthalpy (Delta_h) and efficiency (Eff_Electrolyzer), generates three simultaneous outputs: Hydrogen gas, Oxygen gas, and Dissipated Heat (Q_prod)</w:t>
      </w:r>
      <w:r w:rsidR="009E7087">
        <w:rPr>
          <w:lang w:val="en-US" w:eastAsia="en-US"/>
        </w:rPr>
        <w:t>.</w:t>
      </w:r>
      <w:bookmarkStart w:id="7" w:name="_Toc225009471"/>
    </w:p>
    <w:p w14:paraId="03755B5F" w14:textId="25212D03" w:rsidR="009E7087" w:rsidRDefault="008C304C" w:rsidP="00B10950">
      <w:pPr>
        <w:pStyle w:val="berschrift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enabsatz"/>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enabsatz"/>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enabsatz"/>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berschrift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enabsatz"/>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(Q_prod) is captured and stored in a central energy storage unit (Q_store)</w:t>
      </w:r>
      <w:r w:rsidR="00536819">
        <w:rPr>
          <w:lang w:val="en-US" w:eastAsia="en-US"/>
        </w:rPr>
        <w:t>.</w:t>
      </w:r>
    </w:p>
    <w:p w14:paraId="2812C514" w14:textId="5840F55E" w:rsidR="00536819" w:rsidRDefault="004A590A" w:rsidP="005B640C">
      <w:pPr>
        <w:pStyle w:val="Listenabsatz"/>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r w:rsidRPr="004A590A">
        <w:rPr>
          <w:lang w:val="en-US" w:eastAsia="en-US"/>
        </w:rPr>
        <w:t>Q_tank_in</w:t>
      </w:r>
      <w:r>
        <w:rPr>
          <w:lang w:val="en-US" w:eastAsia="en-US"/>
        </w:rPr>
        <w:t>)</w:t>
      </w:r>
      <w:r w:rsidRPr="004A590A">
        <w:rPr>
          <w:lang w:val="en-US" w:eastAsia="en-US"/>
        </w:rPr>
        <w:t xml:space="preserve"> to regulate the fish tank temperature (T_tank),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r w:rsidRPr="004A590A">
        <w:rPr>
          <w:lang w:val="en-US" w:eastAsia="en-US"/>
        </w:rPr>
        <w:t>rho_water</w:t>
      </w:r>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r w:rsidRPr="004A590A">
        <w:rPr>
          <w:lang w:val="en-US" w:eastAsia="en-US"/>
        </w:rPr>
        <w:t>cp_water</w:t>
      </w:r>
      <w:r w:rsidR="00482324">
        <w:rPr>
          <w:lang w:val="en-US" w:eastAsia="en-US"/>
        </w:rPr>
        <w:t>)</w:t>
      </w:r>
      <w:r w:rsidR="00536819">
        <w:rPr>
          <w:lang w:val="en-US" w:eastAsia="en-US"/>
        </w:rPr>
        <w:t>.</w:t>
      </w:r>
    </w:p>
    <w:p w14:paraId="1FCC48BE" w14:textId="6AE9E037" w:rsidR="00EE5562" w:rsidRPr="00A71AC3" w:rsidRDefault="00482324" w:rsidP="005B640C">
      <w:pPr>
        <w:pStyle w:val="Listenabsatz"/>
        <w:numPr>
          <w:ilvl w:val="0"/>
          <w:numId w:val="14"/>
        </w:numPr>
        <w:ind w:right="-1"/>
        <w:rPr>
          <w:lang w:val="en-US" w:eastAsia="en-US"/>
        </w:rPr>
      </w:pPr>
      <w:r w:rsidRPr="00A71AC3">
        <w:rPr>
          <w:lang w:val="en-US" w:eastAsia="en-US"/>
        </w:rPr>
        <w:t>Greenhouse Heating: Simultaneously, heat is transferred through a heat flow (Q_greenhouse_in) to the vertical farm module to maintain the greenhouse temperature (T_greenhouse</w:t>
      </w:r>
      <w:r w:rsidR="00EE5562" w:rsidRPr="00A71AC3">
        <w:rPr>
          <w:lang w:val="en-US" w:eastAsia="en-US"/>
        </w:rPr>
        <w:t>).</w:t>
      </w:r>
    </w:p>
    <w:p w14:paraId="78E14C0E" w14:textId="2EFBF856" w:rsidR="00482324" w:rsidRPr="00536819" w:rsidRDefault="00A84519" w:rsidP="005B640C">
      <w:pPr>
        <w:pStyle w:val="Listenabsatz"/>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r w:rsidRPr="00A84519">
        <w:rPr>
          <w:lang w:val="en-US" w:eastAsia="en-US"/>
        </w:rPr>
        <w:t>Q_diss_tank and Q_diss_greenhouse</w:t>
      </w:r>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berschrift2"/>
      </w:pPr>
      <w:r>
        <w:t>Model Parameters and Logic</w:t>
      </w:r>
    </w:p>
    <w:p w14:paraId="362F89FF" w14:textId="7FD76305" w:rsidR="00B71D91" w:rsidRPr="00A161A9" w:rsidRDefault="004A03ED" w:rsidP="005B640C">
      <w:pPr>
        <w:ind w:right="-1"/>
        <w:rPr>
          <w:lang w:val="en-GB"/>
        </w:rPr>
      </w:pPr>
      <w:r w:rsidRPr="004A03ED">
        <w:rPr>
          <w:lang w:val="en-US" w:eastAsia="en-US"/>
        </w:rPr>
        <w:t>The model is of a hypothetical hydrogen plant with PEM electrolyzers. The power for plant operation comes from an islanded wind farm with a similar capacity. It is assumed that the heat output of the electrolyzer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berschrift2"/>
      </w:pPr>
      <w:bookmarkStart w:id="9" w:name="_Toc225009474"/>
      <w:r w:rsidRPr="004A03ED">
        <w:t>Wind Farm (P_electrolyzer)</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w:t>
      </w:r>
      <w:r w:rsidRPr="00826816">
        <w:rPr>
          <w:rFonts w:cs="Calibri"/>
          <w:lang w:val="en-GB"/>
        </w:rPr>
        <w:lastRenderedPageBreak/>
        <w:t xml:space="preserve">hours was scaled to data from Fingrid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Fingrid data is for all of Finland, data for specific wind farms is not easily found. Therefore, the profile is the best approximation for our project. </w:t>
      </w:r>
      <w:r>
        <w:rPr>
          <w:rFonts w:cs="Calibri"/>
        </w:rPr>
        <w:t>The power output was scaled as follows:</w:t>
      </w:r>
    </w:p>
    <w:p w14:paraId="5D02CFD3" w14:textId="1C9196E3" w:rsidR="004A03ED" w:rsidRPr="00423C9D" w:rsidRDefault="004A03ED" w:rsidP="00423C9D">
      <w:pPr>
        <w:pStyle w:val="Listenabsatz"/>
        <w:numPr>
          <w:ilvl w:val="0"/>
          <w:numId w:val="27"/>
        </w:numPr>
        <w:ind w:right="-1"/>
        <w:rPr>
          <w:lang w:val="en-GB"/>
        </w:rPr>
      </w:pPr>
      <w:r w:rsidRPr="00423C9D">
        <w:rPr>
          <w:lang w:val="en-GB"/>
        </w:rPr>
        <w:t>Hourly Averaging: The raw 3-minute real-time production data from Fingrid (March 6th-7th) was aggregated into hourly mean values to provide a consistent daily profile.</w:t>
      </w:r>
    </w:p>
    <w:p w14:paraId="1A95BED4" w14:textId="32E83D56" w:rsidR="004A03ED" w:rsidRPr="00826816" w:rsidRDefault="004A03ED" w:rsidP="00423C9D">
      <w:pPr>
        <w:pStyle w:val="Listenabsatz"/>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enabsatz"/>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enabsatz"/>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berschrift2"/>
        <w:rPr>
          <w:rStyle w:val="Fett"/>
          <w:b/>
          <w:bCs/>
        </w:rPr>
      </w:pPr>
      <w:bookmarkStart w:id="10" w:name="_Toc225009475"/>
      <w:r w:rsidRPr="004A03ED">
        <w:rPr>
          <w:rStyle w:val="Fett"/>
          <w:b/>
          <w:bCs/>
        </w:rPr>
        <w:t>Fish Farm Design</w:t>
      </w:r>
      <w:bookmarkEnd w:id="10"/>
    </w:p>
    <w:p w14:paraId="2BEA87C5" w14:textId="5078D9AC" w:rsidR="00A71AC3" w:rsidRPr="00A71AC3" w:rsidRDefault="00A71AC3" w:rsidP="00322F72">
      <w:pPr>
        <w:pStyle w:val="berschrift3"/>
        <w:numPr>
          <w:ilvl w:val="0"/>
          <w:numId w:val="0"/>
        </w:numPr>
        <w:ind w:left="624" w:hanging="624"/>
      </w:pPr>
      <w:bookmarkStart w:id="11" w:name="_Toc225009476"/>
      <w:r>
        <w:rPr>
          <w:rStyle w:val="Fett"/>
          <w:b/>
          <w:bCs/>
        </w:rPr>
        <w:t xml:space="preserve">Sizing the </w:t>
      </w:r>
      <w:r w:rsidRPr="004A03ED">
        <w:rPr>
          <w:rStyle w:val="Fett"/>
          <w:b/>
          <w:bCs/>
        </w:rPr>
        <w:t xml:space="preserve">Fish </w:t>
      </w:r>
      <w:r>
        <w:rPr>
          <w:rStyle w:val="Fett"/>
          <w:b/>
          <w:bCs/>
        </w:rPr>
        <w:t>Tank</w:t>
      </w:r>
      <w:bookmarkEnd w:id="11"/>
    </w:p>
    <w:p w14:paraId="73D58B21" w14:textId="7DF12396" w:rsidR="00576389" w:rsidRPr="00A71AC3" w:rsidRDefault="004A03ED" w:rsidP="00423C9D">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w:lastRenderedPageBreak/>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322F72">
      <w:pPr>
        <w:pStyle w:val="berschrift3"/>
        <w:numPr>
          <w:ilvl w:val="0"/>
          <w:numId w:val="0"/>
        </w:numPr>
        <w:ind w:right="-1"/>
        <w:rPr>
          <w:rStyle w:val="Fett"/>
          <w:b/>
          <w:bCs/>
        </w:rPr>
      </w:pPr>
      <w:bookmarkStart w:id="12" w:name="_Toc225009477"/>
      <w:r w:rsidRPr="004A03ED">
        <w:rPr>
          <w:rStyle w:val="Fett"/>
          <w:b/>
          <w:bCs/>
        </w:rPr>
        <w:t xml:space="preserve">Fish </w:t>
      </w:r>
      <w:r>
        <w:rPr>
          <w:rStyle w:val="Fett"/>
          <w:b/>
          <w:bCs/>
        </w:rPr>
        <w:t>Tank Heat Losses</w:t>
      </w:r>
      <w:bookmarkEnd w:id="12"/>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enabsatz"/>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m:t>
        </m:r>
        <m:r>
          <w:rPr>
            <w:rFonts w:ascii="Cambria Math" w:hAnsi="Cambria Math"/>
            <w:lang w:val="en-GB"/>
          </w:rPr>
          <m:t xml:space="preserve"> </m:t>
        </m:r>
        <m:r>
          <w:rPr>
            <w:rFonts w:ascii="Cambria Math" w:hAnsi="Cambria Math"/>
            <w:lang w:val="en-GB"/>
          </w:rPr>
          <m:t>°C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lastRenderedPageBreak/>
        <w:t>The thermal mass of the fish is assumed to be similar to that of water and is thus neglected.</w:t>
      </w:r>
    </w:p>
    <w:p w14:paraId="388F939A" w14:textId="77777777" w:rsidR="008248A3" w:rsidRDefault="00B93E10" w:rsidP="00C45607">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m:t>
          </m:r>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21046.86</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m:t>
          </m:r>
          <m:r>
            <w:rPr>
              <w:rFonts w:ascii="Cambria Math" w:hAnsi="Cambria Math"/>
              <w:lang w:val="en-GB"/>
            </w:rPr>
            <m:t xml:space="preserve"> m</m:t>
          </m:r>
          <m:r>
            <w:rPr>
              <w:rFonts w:ascii="Cambria Math" w:hAnsi="Cambria Math"/>
              <w:lang w:val="en-GB"/>
            </w:rPr>
            <m:t>;W=25.63</m:t>
          </m:r>
          <m:r>
            <w:rPr>
              <w:rFonts w:ascii="Cambria Math" w:hAnsi="Cambria Math"/>
              <w:lang w:val="en-GB"/>
            </w:rPr>
            <m:t xml:space="preserve"> m</m:t>
          </m:r>
          <m:r>
            <w:rPr>
              <w:rFonts w:ascii="Cambria Math" w:hAnsi="Cambria Math"/>
              <w:lang w:val="en-GB"/>
            </w:rPr>
            <m:t>;L=128.15</m:t>
          </m:r>
          <m:r>
            <w:rPr>
              <w:rFonts w:ascii="Cambria Math" w:hAnsi="Cambria Math"/>
              <w:lang w:val="en-GB"/>
            </w:rPr>
            <m:t xml:space="preserve"> m</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The area is calculated from the length of the sides and the heat loss can be calculated using the area, the temperature difference and the assumed U-Values.</w:t>
      </w:r>
      <w:r w:rsidR="00A3552F">
        <w:rPr>
          <w:lang w:val="en-GB"/>
        </w:rPr>
        <w:t xml:space="preserve"> </w:t>
      </w:r>
    </w:p>
    <w:p w14:paraId="26C2E7C5" w14:textId="4809BA34" w:rsidR="008A4546" w:rsidRDefault="008A4546" w:rsidP="008A4546">
      <w:pPr>
        <w:pStyle w:val="berschrift2"/>
      </w:pPr>
      <w:r>
        <w:t>Vertical Farm Design</w:t>
      </w:r>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enabsatz"/>
        <w:numPr>
          <w:ilvl w:val="0"/>
          <w:numId w:val="27"/>
        </w:numPr>
        <w:ind w:right="-1"/>
        <w:rPr>
          <w:lang w:val="en-GB"/>
        </w:rPr>
      </w:pPr>
      <w:r w:rsidRPr="000818AF">
        <w:rPr>
          <w:lang w:val="en-GB" w:eastAsia="en-US"/>
        </w:rPr>
        <w:t xml:space="preserve">Although data on the design temperature in Berlevag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m:t>
        </m:r>
        <m:r>
          <w:rPr>
            <w:rFonts w:ascii="Cambria Math" w:hAnsi="Cambria Math"/>
            <w:lang w:val="en-GB"/>
          </w:rPr>
          <m:t>133</m:t>
        </m:r>
        <m:r>
          <w:rPr>
            <w:rFonts w:ascii="Cambria Math" w:hAnsi="Cambria Math"/>
            <w:lang w:val="en-GB"/>
          </w:rPr>
          <m:t>2</m:t>
        </m:r>
        <m:r>
          <w:rPr>
            <w:rFonts w:ascii="Cambria Math" w:hAnsi="Cambria Math"/>
            <w:lang w:val="en-GB"/>
          </w:rPr>
          <m:t xml:space="preserve">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enabsatz"/>
        <w:numPr>
          <w:ilvl w:val="0"/>
          <w:numId w:val="27"/>
        </w:numPr>
        <w:rPr>
          <w:lang w:val="en-GB" w:eastAsia="en-US"/>
        </w:rPr>
      </w:pPr>
      <w:r>
        <w:rPr>
          <w:lang w:val="en-GB" w:eastAsia="en-US"/>
        </w:rPr>
        <w:lastRenderedPageBreak/>
        <w:t>The</w:t>
      </w:r>
      <w:r w:rsidR="00D32C2D">
        <w:rPr>
          <w:lang w:val="en-GB" w:eastAsia="en-US"/>
        </w:rPr>
        <w:t xml:space="preserve"> vertical farm is designed to grow lettuce, as is the case in the Berlevag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enabsatz"/>
        <w:numPr>
          <w:ilvl w:val="1"/>
          <w:numId w:val="27"/>
        </w:numPr>
        <w:rPr>
          <w:lang w:val="en-GB" w:eastAsia="en-US"/>
        </w:rPr>
      </w:pPr>
      <w:r>
        <w:rPr>
          <w:lang w:val="en-GB" w:eastAsia="en-US"/>
        </w:rPr>
        <w:t xml:space="preserve">For the climate zone of Helsinki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bookmarkStart w:id="13" w:name="_Toc225009478"/>
    </w:p>
    <w:p w14:paraId="7959FAD6" w14:textId="53A5F08F" w:rsidR="007D5ABE" w:rsidRDefault="007D5ABE" w:rsidP="007D5ABE">
      <w:pPr>
        <w:pStyle w:val="Listenabsatz"/>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C93B07"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CB5B52"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25535239" w:rsidR="00D26F35" w:rsidRDefault="000868AC" w:rsidP="00177BD5">
      <w:pPr>
        <w:ind w:left="360"/>
        <w:jc w:val="left"/>
        <w:rPr>
          <w:lang w:val="en-GB" w:eastAsia="en-US"/>
        </w:rPr>
      </w:pPr>
      <w:r>
        <w:rPr>
          <w:lang w:val="en-GB" w:eastAsia="en-US"/>
        </w:rPr>
        <w:t>T</w:t>
      </w:r>
      <w:r w:rsidR="00E44A4C">
        <w:rPr>
          <w:lang w:val="en-GB" w:eastAsia="en-US"/>
        </w:rPr>
        <w:t xml:space="preserve">he volume </w:t>
      </w:r>
      <w:r w:rsidR="009B6AC1">
        <w:rPr>
          <w:lang w:val="en-GB" w:eastAsia="en-US"/>
        </w:rPr>
        <w:t xml:space="preserve">of a </w:t>
      </w:r>
      <w:r w:rsidR="009B6AC1">
        <w:rPr>
          <w:lang w:val="en-GB" w:eastAsia="en-US"/>
        </w:rPr>
        <w:t>rectangular</w:t>
      </w:r>
      <w:r w:rsidR="009B6AC1">
        <w:rPr>
          <w:lang w:val="en-GB" w:eastAsia="en-US"/>
        </w:rPr>
        <w:t xml:space="preserve">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m:t>
        </m:r>
        <m:r>
          <w:rPr>
            <w:rFonts w:ascii="Cambria Math" w:hAnsi="Cambria Math"/>
            <w:lang w:val="en-GB" w:eastAsia="en-US"/>
          </w:rPr>
          <m:t xml:space="preserve">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the height of the vertical farm is likely limited. The (self-reported) tallest vertical farm in the world</w:t>
      </w:r>
      <w:r w:rsidR="00D26F35">
        <w:rPr>
          <w:lang w:val="en-GB" w:eastAsia="en-US"/>
        </w:rPr>
        <w:t>, the Greenphyto Innovation Centre in Singapore,</w:t>
      </w:r>
      <w:r w:rsidR="00151339">
        <w:rPr>
          <w:lang w:val="en-GB" w:eastAsia="en-US"/>
        </w:rPr>
        <w:t xml:space="preserve"> is 23.3m tall </w:t>
      </w:r>
      <w:r w:rsidR="00151339">
        <w:rPr>
          <w:lang w:val="en-GB" w:eastAsia="en-US"/>
        </w:rPr>
        <w:fldChar w:fldCharType="begin"/>
      </w:r>
      <w:r w:rsidR="00151339">
        <w:rPr>
          <w:lang w:val="en-GB" w:eastAsia="en-US"/>
        </w:rPr>
        <w:instrText xml:space="preserve"> ADDIN ZOTERO_ITEM CSL_CITATION {"citationID":"ZTp3ho2N","properties":{"formattedCitation":"[20]","plainCitation":"[20]","noteIndex":0},"citationItems":[{"id":390,"uris":["http://zotero.org/groups/6447497/items/HW3DZH35"],"itemData":{"id":390,"type":"webpage","abstract":"Greenphyto’s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151339" w:rsidRPr="00151339">
        <w:rPr>
          <w:lang w:val="en-GB" w:eastAsia="en-US"/>
        </w:rPr>
        <w:t>[20]</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e Greenphyto vertical farm are 5:1</w:t>
      </w:r>
      <w:r w:rsidR="00177BD5">
        <w:rPr>
          <w:lang w:val="en-GB" w:eastAsia="en-US"/>
        </w:rPr>
        <w:t xml:space="preserve"> </w:t>
      </w:r>
      <w:r w:rsidR="00177BD5">
        <w:rPr>
          <w:lang w:val="en-GB" w:eastAsia="en-US"/>
        </w:rPr>
        <w:fldChar w:fldCharType="begin"/>
      </w:r>
      <w:r w:rsidR="00177BD5">
        <w:rPr>
          <w:lang w:val="en-GB" w:eastAsia="en-US"/>
        </w:rPr>
        <w:instrText xml:space="preserve"> ADDIN ZOTERO_ITEM CSL_CITATION {"citationID":"5RChp4no","properties":{"formattedCitation":"[21]","plainCitation":"[21]","noteIndex":0},"citationItems":[{"id":306,"uris":["http://zotero.org/users/18808339/items/72YIZQQP"],"itemData":{"id":306,"type":"software","medium":"Windows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177BD5" w:rsidRPr="00177BD5">
        <w:rPr>
          <w:lang w:val="en-GB" w:eastAsia="en-US"/>
        </w:rPr>
        <w:t>[21]</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enabsatz"/>
        <w:ind w:right="-1"/>
        <w:rPr>
          <w:lang w:val="en-GB"/>
        </w:rPr>
      </w:pPr>
      <m:oMathPara>
        <m:oMath>
          <m:r>
            <w:rPr>
              <w:rFonts w:ascii="Cambria Math" w:hAnsi="Cambria Math"/>
              <w:lang w:val="en-GB"/>
            </w:rPr>
            <w:lastRenderedPageBreak/>
            <m:t>H=</m:t>
          </m:r>
          <m:r>
            <w:rPr>
              <w:rFonts w:ascii="Cambria Math" w:hAnsi="Cambria Math"/>
              <w:lang w:val="en-GB"/>
            </w:rPr>
            <m:t>20 m;5W</m:t>
          </m:r>
          <m:r>
            <w:rPr>
              <w:rFonts w:ascii="Cambria Math" w:hAnsi="Cambria Math"/>
              <w:lang w:val="en-GB"/>
            </w:rPr>
            <m:t>=</m:t>
          </m:r>
          <m:r>
            <w:rPr>
              <w:rFonts w:ascii="Cambria Math" w:hAnsi="Cambria Math"/>
              <w:lang w:val="en-GB"/>
            </w:rPr>
            <m:t>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m:t>
          </m:r>
          <m:r>
            <w:rPr>
              <w:rFonts w:ascii="Cambria Math" w:hAnsi="Cambria Math"/>
              <w:lang w:val="en-GB"/>
            </w:rPr>
            <m:t>W</m:t>
          </m:r>
          <m:r>
            <w:rPr>
              <w:rFonts w:ascii="Cambria Math" w:hAnsi="Cambria Math"/>
              <w:lang w:val="en-GB"/>
            </w:rPr>
            <m:t>+2H⋅L+2W⋅</m:t>
          </m:r>
          <m:r>
            <w:rPr>
              <w:rFonts w:ascii="Cambria Math" w:hAnsi="Cambria Math"/>
              <w:lang w:val="en-GB"/>
            </w:rPr>
            <m:t>L=</m:t>
          </m:r>
          <m:r>
            <w:rPr>
              <w:rFonts w:ascii="Cambria Math" w:hAnsi="Cambria Math"/>
              <w:lang w:val="en-GB"/>
            </w:rPr>
            <m:t>2</m:t>
          </m:r>
          <m:r>
            <w:rPr>
              <w:rFonts w:ascii="Cambria Math" w:hAnsi="Cambria Math"/>
              <w:lang w:val="en-GB"/>
            </w:rPr>
            <m:t>40</m:t>
          </m:r>
          <m:r>
            <w:rPr>
              <w:rFonts w:ascii="Cambria Math" w:hAnsi="Cambria Math"/>
              <w:lang w:val="en-GB"/>
            </w:rPr>
            <m:t xml:space="preserve"> m⋅W+</m:t>
          </m:r>
          <m:r>
            <w:rPr>
              <w:rFonts w:ascii="Cambria Math" w:hAnsi="Cambria Math"/>
              <w:lang w:val="en-GB"/>
            </w:rPr>
            <m:t>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m:t>
          </m:r>
          <m:r>
            <w:rPr>
              <w:rFonts w:ascii="Cambria Math" w:hAnsi="Cambria Math"/>
              <w:lang w:val="en-GB"/>
            </w:rPr>
            <m:t>46284.829</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m:t>
          </m:r>
          <m:r>
            <w:rPr>
              <w:rFonts w:ascii="Cambria Math" w:hAnsi="Cambria Math"/>
              <w:lang w:val="en-GB"/>
            </w:rPr>
            <m:t>=</m:t>
          </m:r>
          <m:r>
            <w:rPr>
              <w:rFonts w:ascii="Cambria Math" w:hAnsi="Cambria Math"/>
              <w:lang w:val="en-GB"/>
            </w:rPr>
            <m:t>-12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m:t>
          </m:r>
          <m:r>
            <w:rPr>
              <w:rFonts w:ascii="Cambria Math" w:hAnsi="Cambria Math"/>
              <w:lang w:val="en-GB"/>
            </w:rPr>
            <m:t>57</m:t>
          </m:r>
          <m:r>
            <w:rPr>
              <w:rFonts w:ascii="Cambria Math" w:hAnsi="Cambria Math"/>
              <w:lang w:val="en-GB"/>
            </w:rPr>
            <m:t>.083</m:t>
          </m:r>
          <m:r>
            <w:rPr>
              <w:rFonts w:ascii="Cambria Math" w:hAnsi="Cambria Math"/>
              <w:lang w:val="en-GB"/>
            </w:rPr>
            <m:t xml:space="preserve"> m</m:t>
          </m:r>
          <m:r>
            <w:rPr>
              <w:rFonts w:ascii="Cambria Math" w:hAnsi="Cambria Math"/>
              <w:lang w:val="en-GB"/>
            </w:rPr>
            <m:t>;</m:t>
          </m:r>
          <m:r>
            <w:rPr>
              <w:rFonts w:ascii="Cambria Math" w:hAnsi="Cambria Math"/>
              <w:lang w:val="en-GB"/>
            </w:rPr>
            <m:t>L</m:t>
          </m:r>
          <m:r>
            <w:rPr>
              <w:rFonts w:ascii="Cambria Math" w:hAnsi="Cambria Math"/>
              <w:lang w:val="en-GB"/>
            </w:rPr>
            <m:t>=</m:t>
          </m:r>
          <m:r>
            <w:rPr>
              <w:rFonts w:ascii="Cambria Math" w:hAnsi="Cambria Math"/>
              <w:lang w:val="en-GB"/>
            </w:rPr>
            <m:t>285.416</m:t>
          </m:r>
          <m:r>
            <w:rPr>
              <w:rFonts w:ascii="Cambria Math" w:hAnsi="Cambria Math"/>
              <w:lang w:val="en-GB"/>
            </w:rPr>
            <m:t xml:space="preserve"> m</m:t>
          </m:r>
          <m:r>
            <w:rPr>
              <w:rFonts w:ascii="Cambria Math" w:hAnsi="Cambria Math"/>
              <w:lang w:val="en-GB"/>
            </w:rPr>
            <m:t>;</m:t>
          </m:r>
          <m:r>
            <w:rPr>
              <w:rFonts w:ascii="Cambria Math" w:hAnsi="Cambria Math"/>
              <w:lang w:val="en-GB"/>
            </w:rPr>
            <m:t>H</m:t>
          </m:r>
          <m:r>
            <w:rPr>
              <w:rFonts w:ascii="Cambria Math" w:hAnsi="Cambria Math"/>
              <w:lang w:val="en-GB"/>
            </w:rPr>
            <m:t>=</m:t>
          </m:r>
          <m:r>
            <w:rPr>
              <w:rFonts w:ascii="Cambria Math" w:hAnsi="Cambria Math"/>
              <w:lang w:val="en-GB"/>
            </w:rPr>
            <m:t>20 m</m:t>
          </m:r>
        </m:oMath>
      </m:oMathPara>
    </w:p>
    <w:p w14:paraId="564B9083" w14:textId="77777777" w:rsidR="00D26F35" w:rsidRDefault="00D26F35" w:rsidP="00151339">
      <w:pPr>
        <w:ind w:left="360"/>
        <w:jc w:val="left"/>
        <w:rPr>
          <w:lang w:val="en-GB" w:eastAsia="en-US"/>
        </w:rPr>
      </w:pPr>
    </w:p>
    <w:p w14:paraId="78E0AAD6" w14:textId="208A1829" w:rsidR="00E44A4C" w:rsidRPr="00E44A4C" w:rsidRDefault="00D26F35" w:rsidP="00151339">
      <w:pPr>
        <w:ind w:left="360"/>
        <w:jc w:val="left"/>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64DA7E5F" w14:textId="307D026E" w:rsidR="004A03ED" w:rsidRPr="00BB2C51" w:rsidRDefault="004A03ED" w:rsidP="00B10950">
      <w:pPr>
        <w:pStyle w:val="berschrift2"/>
      </w:pPr>
      <w:r w:rsidRPr="00E360C6">
        <w:t>Parameters</w:t>
      </w:r>
      <w:bookmarkEnd w:id="13"/>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r w:rsidRPr="00576389">
              <w:rPr>
                <w:b/>
                <w:bCs/>
              </w:rPr>
              <w:t>Parameter</w:t>
            </w:r>
            <w:r w:rsidR="00576389">
              <w:rPr>
                <w:b/>
                <w:bCs/>
              </w:rPr>
              <w:t>s</w:t>
            </w:r>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Value/Unit</w:t>
            </w:r>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r w:rsidRPr="00576389">
              <w:t>P_Electrolyzer</w:t>
            </w:r>
          </w:p>
        </w:tc>
        <w:tc>
          <w:tcPr>
            <w:tcW w:w="1559" w:type="dxa"/>
            <w:vAlign w:val="center"/>
          </w:tcPr>
          <w:p w14:paraId="0A8552E0" w14:textId="77777777" w:rsidR="004A03ED" w:rsidRPr="00576389" w:rsidRDefault="004A03ED" w:rsidP="005B640C">
            <w:pPr>
              <w:spacing w:after="0" w:line="276" w:lineRule="auto"/>
              <w:ind w:right="-1"/>
              <w:jc w:val="center"/>
            </w:pPr>
            <w:r w:rsidRPr="00576389">
              <w:t>variable</w:t>
            </w:r>
          </w:p>
        </w:tc>
        <w:tc>
          <w:tcPr>
            <w:tcW w:w="5528" w:type="dxa"/>
            <w:vAlign w:val="center"/>
          </w:tcPr>
          <w:p w14:paraId="37C91692" w14:textId="6252DDCB" w:rsidR="004A03ED" w:rsidRPr="00576389" w:rsidRDefault="004A03ED" w:rsidP="00177BD5">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177BD5">
              <w:rPr>
                <w:lang w:val="en-GB"/>
              </w:rPr>
              <w:instrText xml:space="preserve"> ADDIN ZOTERO_ITEM CSL_CITATION {"citationID":"DSsI2lzZ","properties":{"formattedCitation":"[22]","plainCitation":"[22]","noteIndex":0},"citationItems":[{"id":343,"uris":["http://zotero.org/groups/6447497/items/SRB46M8K"],"itemData":{"id":343,"type":"post-weblog","language":"en-GB","title":"Haeolus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177BD5" w:rsidRPr="00177BD5">
              <w:t>[22]</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r w:rsidRPr="00576389">
              <w:t>Eff_Electrolyzer</w:t>
            </w:r>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282EB35E" w:rsidR="004A03ED" w:rsidRPr="00576389" w:rsidRDefault="004A03ED" w:rsidP="00177BD5">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177BD5">
              <w:rPr>
                <w:lang w:val="en-GB"/>
              </w:rPr>
              <w:instrText xml:space="preserve"> ADDIN ZOTERO_ITEM CSL_CITATION {"citationID":"gPCdkhXq","properties":{"formattedCitation":"[23]","plainCitation":"[23]","noteIndex":0},"citationItems":[{"id":359,"uris":["http://zotero.org/groups/6447497/items/SS8CMKJN"],"itemData":{"id":359,"type":"article-journal","abstract":"This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177BD5" w:rsidRPr="00177BD5">
              <w:t>[23]</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r w:rsidRPr="00576389">
              <w:t>Delta_h</w:t>
            </w:r>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0B1407A2" w:rsidR="004A03ED" w:rsidRPr="00576389" w:rsidRDefault="004A03ED" w:rsidP="00177BD5">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177BD5">
              <w:rPr>
                <w:lang w:val="en-GB"/>
              </w:rPr>
              <w:instrText xml:space="preserve"> ADDIN ZOTERO_ITEM CSL_CITATION {"citationID":"eSBSfdEq","properties":{"formattedCitation":"[24]","plainCitation":"[24]","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177BD5" w:rsidRPr="00177BD5">
              <w:t>[24]</w:t>
            </w:r>
            <w:r w:rsidRPr="00576389">
              <w:fldChar w:fldCharType="end"/>
            </w:r>
          </w:p>
        </w:tc>
      </w:tr>
      <w:tr w:rsidR="004A03ED" w:rsidRPr="00590E46"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r w:rsidRPr="00576389">
              <w:t>V_tank</w:t>
            </w:r>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Calculated from Oxygen production, oxygen consumption of fish and space required for resulting amount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r w:rsidRPr="00576389">
              <w:t>V_greenhouse</w:t>
            </w:r>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Volume of the greenhouse</w:t>
            </w:r>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r w:rsidRPr="00576389">
              <w:t>cp_water</w:t>
            </w:r>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r w:rsidRPr="00576389">
              <w:t>cp_air</w:t>
            </w:r>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r w:rsidRPr="00576389">
              <w:t>rho_air</w:t>
            </w:r>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berschrift2"/>
        <w:rPr>
          <w:rFonts w:ascii="Calibri" w:hAnsi="Calibri" w:cs="Calibri"/>
        </w:rPr>
      </w:pPr>
      <w:r w:rsidRPr="00B10950">
        <w:rPr>
          <w:rStyle w:val="berschrift2Zchn"/>
          <w:b/>
          <w:bCs/>
        </w:rPr>
        <w:t>Stocks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lastRenderedPageBreak/>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r w:rsidRPr="00576389">
              <w:t>T_greenhouse</w:t>
            </w:r>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berschrift2"/>
        <w:rPr>
          <w:rFonts w:ascii="Calibri" w:hAnsi="Calibri" w:cs="Calibri"/>
        </w:rPr>
      </w:pPr>
      <w:r>
        <w:t>Flows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r w:rsidRPr="001B4F6D">
              <w:rPr>
                <w:b/>
                <w:bCs/>
              </w:rPr>
              <w:t>Flow</w:t>
            </w:r>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r w:rsidRPr="001B4F6D">
              <w:t>Q_diss_greenhouse</w:t>
            </w:r>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r w:rsidRPr="001B4F6D">
              <w:t>Q_diss_tank</w:t>
            </w:r>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r w:rsidRPr="001B4F6D">
              <w:t>Q_greenhouse_in</w:t>
            </w:r>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r w:rsidRPr="001B4F6D">
              <w:t>Q_tank_in</w:t>
            </w:r>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r w:rsidRPr="001B4F6D">
              <w:t>Q_prod</w:t>
            </w:r>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lastRenderedPageBreak/>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This obviously needs to be digitalized,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berschrift2"/>
      </w:pPr>
      <w:bookmarkStart w:id="14" w:name="_Toc225009479"/>
      <w:r>
        <w:t>Key Equations</w:t>
      </w:r>
      <w:bookmarkEnd w:id="14"/>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at a glance.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berschrift3"/>
        <w:numPr>
          <w:ilvl w:val="0"/>
          <w:numId w:val="0"/>
        </w:numPr>
        <w:ind w:right="-1"/>
      </w:pPr>
      <w:bookmarkStart w:id="15" w:name="_Toc225009480"/>
      <w:r w:rsidRPr="00827C00">
        <w:lastRenderedPageBreak/>
        <w:t>Variables</w:t>
      </w:r>
      <w:bookmarkEnd w:id="15"/>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322F72">
      <w:pPr>
        <w:pStyle w:val="berschrift3"/>
        <w:numPr>
          <w:ilvl w:val="0"/>
          <w:numId w:val="0"/>
        </w:numPr>
        <w:ind w:right="-1"/>
      </w:pPr>
      <w:bookmarkStart w:id="16" w:name="_Toc225009481"/>
      <w:r w:rsidRPr="00E360C6">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322F72">
      <w:pPr>
        <w:pStyle w:val="berschrift3"/>
        <w:numPr>
          <w:ilvl w:val="0"/>
          <w:numId w:val="0"/>
        </w:numPr>
        <w:ind w:right="-1"/>
      </w:pPr>
      <w:bookmarkStart w:id="17" w:name="_Toc225009482"/>
      <w:r w:rsidRPr="00E360C6">
        <w:lastRenderedPageBreak/>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322F72">
      <w:pPr>
        <w:pStyle w:val="berschrift3"/>
        <w:numPr>
          <w:ilvl w:val="0"/>
          <w:numId w:val="0"/>
        </w:numPr>
        <w:ind w:right="-1"/>
        <w:rPr>
          <w:rFonts w:eastAsiaTheme="minorEastAsia"/>
        </w:rPr>
      </w:pPr>
      <w:bookmarkStart w:id="18" w:name="_Toc225009483"/>
      <w:r w:rsidRPr="008772EE">
        <w:rPr>
          <w:rFonts w:eastAsiaTheme="minorEastAsia"/>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322F72">
      <w:pPr>
        <w:pStyle w:val="berschrift3"/>
        <w:numPr>
          <w:ilvl w:val="0"/>
          <w:numId w:val="0"/>
        </w:numPr>
        <w:ind w:right="-1"/>
      </w:pPr>
      <w:bookmarkStart w:id="19" w:name="_Toc225009484"/>
      <w:r>
        <w:t>Heat</w:t>
      </w:r>
      <w:r w:rsidRPr="00E360C6">
        <w:t xml:space="preserve">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322F72">
      <w:pPr>
        <w:pStyle w:val="berschrift3"/>
        <w:numPr>
          <w:ilvl w:val="0"/>
          <w:numId w:val="0"/>
        </w:numPr>
        <w:ind w:right="-1"/>
      </w:pPr>
      <w:bookmarkStart w:id="20" w:name="_Toc225009485"/>
      <w:r w:rsidRPr="00E360C6">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322F72">
      <w:pPr>
        <w:pStyle w:val="berschrift3"/>
        <w:numPr>
          <w:ilvl w:val="0"/>
          <w:numId w:val="0"/>
        </w:numPr>
        <w:ind w:right="-1"/>
      </w:pPr>
      <w:bookmarkStart w:id="21" w:name="_Toc225009486"/>
      <w:r>
        <w:t>Fish Tank</w:t>
      </w:r>
      <w:r w:rsidRPr="00E360C6">
        <w:t xml:space="preserve">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Pr="00357FB3" w:rsidRDefault="004A03ED" w:rsidP="005B640C">
      <w:pPr>
        <w:ind w:right="-1"/>
        <w:rPr>
          <w:rFonts w:eastAsiaTheme="minorEastAsia"/>
          <w:lang w:val="en-GB"/>
        </w:rPr>
      </w:pPr>
      <w:r>
        <w:rPr>
          <w:rFonts w:eastAsiaTheme="minorEastAsia"/>
          <w:lang w:val="en-GB"/>
        </w:rPr>
        <w:t>This function of the simulation is incomplete, as there are no temperature gradients determining the heat flow.</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1CBAE076" w14:textId="77777777" w:rsidR="00177BD5" w:rsidRPr="00177BD5" w:rsidRDefault="004A03ED" w:rsidP="00177BD5">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177BD5" w:rsidRPr="00177BD5">
        <w:rPr>
          <w:rFonts w:ascii="Times New Roman" w:hAnsi="Times New Roman" w:cs="Times New Roman"/>
        </w:rPr>
        <w:t>[1]</w:t>
      </w:r>
      <w:r w:rsidR="00177BD5" w:rsidRPr="00177BD5">
        <w:rPr>
          <w:rFonts w:ascii="Times New Roman" w:hAnsi="Times New Roman" w:cs="Times New Roman"/>
        </w:rPr>
        <w:tab/>
        <w:t>‘PowerPoint Presentation’. Accessed: Mar. 06, 2026. [Online]. Available: https://www.hydrogen.no/files/documents/medlemsmoter/h2carrier.pdf</w:t>
      </w:r>
    </w:p>
    <w:p w14:paraId="4841DA5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w:t>
      </w:r>
      <w:r w:rsidRPr="00177BD5">
        <w:rPr>
          <w:rFonts w:ascii="Times New Roman" w:hAnsi="Times New Roman" w:cs="Times New Roman"/>
        </w:rPr>
        <w:tab/>
        <w:t>‘Download datasets’. Accessed: Mar. 09, 2026. [Online]. Available: https://data.fingrid.fi/en/data?datasets=181</w:t>
      </w:r>
    </w:p>
    <w:p w14:paraId="2161524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[3]</w:t>
      </w:r>
      <w:r w:rsidRPr="00177BD5">
        <w:rPr>
          <w:rFonts w:ascii="Times New Roman" w:hAnsi="Times New Roman" w:cs="Times New Roman"/>
        </w:rPr>
        <w:tab/>
        <w:t>‘NIB lends to Varanger Kraft´s hydrogen and power grid projects’, Nordic Investment Bank. Accessed: Mar. 08, 2026. [Online]. Available: https://www.nib.int/news/nib-lends-to-varanger-krafts-hydrogen-and-power-grid-projects/</w:t>
      </w:r>
    </w:p>
    <w:p w14:paraId="2D9D78FB"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[4]</w:t>
      </w:r>
      <w:r w:rsidRPr="00177BD5">
        <w:rPr>
          <w:rFonts w:ascii="Times New Roman" w:hAnsi="Times New Roman" w:cs="Times New Roman"/>
        </w:rPr>
        <w:tab/>
        <w:t>‘Hydrogen-Aeolic Energy with Optimised eLectrolysers Upstream of Substation | H2020’, CORDIS | European Commission. Accessed: Mar. 08, 2026. [Online]. Available: https://cordis.europa.eu/project/id/779469/reporting</w:t>
      </w:r>
    </w:p>
    <w:p w14:paraId="0D370835"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[5]</w:t>
      </w:r>
      <w:r w:rsidRPr="00177BD5">
        <w:rPr>
          <w:rFonts w:ascii="Times New Roman" w:hAnsi="Times New Roman" w:cs="Times New Roman"/>
        </w:rPr>
        <w:tab/>
        <w:t>‘Dissolved oxygen requirements in aquatic animal respiration - Responsible Seafood Advocate’, Global Seafood Alliance. Accessed: Mar. 06, 2026. [Online]. Available: https://www.globalseafood.org/advocate/dissolved-oxygen-requirements-in-aquatic-animal-respiration/</w:t>
      </w:r>
    </w:p>
    <w:p w14:paraId="134296A0"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[6]</w:t>
      </w:r>
      <w:r w:rsidRPr="00177BD5">
        <w:rPr>
          <w:rFonts w:ascii="Times New Roman" w:hAnsi="Times New Roman" w:cs="Times New Roman"/>
        </w:rPr>
        <w:tab/>
        <w:t>‘Fish density on our farms’. Accessed: Mar. 07, 2026. [Online]. Available: https://griegseafood.com/our-impact-fish-density-on-our-farms</w:t>
      </w:r>
    </w:p>
    <w:p w14:paraId="7C992288"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[7]</w:t>
      </w:r>
      <w:r w:rsidRPr="00177BD5">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19CEB445"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[8]</w:t>
      </w:r>
      <w:r w:rsidRPr="00177BD5">
        <w:rPr>
          <w:rFonts w:ascii="Times New Roman" w:hAnsi="Times New Roman" w:cs="Times New Roman"/>
        </w:rPr>
        <w:tab/>
        <w:t>‘Green Mountain and Hima Seafood launch groundbreaking heat reuse project’, Mynewsdesk. Accessed: Mar. 21, 2026. [Online]. Available: https://www.mynewsdesk.com/green-mountain/pressreleases/green-mountain-and-hima-seafood-launch-groundbreaking-heat-reuse-project-3430566</w:t>
      </w:r>
    </w:p>
    <w:p w14:paraId="29E66E18"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[9]</w:t>
      </w:r>
      <w:r w:rsidRPr="00177BD5">
        <w:rPr>
          <w:rFonts w:ascii="Times New Roman" w:hAnsi="Times New Roman" w:cs="Times New Roman"/>
        </w:rPr>
        <w:tab/>
        <w:t>A. Furuset, ‘“The only thing that can save the planet”: Hima Seafood’s bold bet on land-based trout farming’, intrafish.com. Accessed: Mar. 21, 2026. [Online]. Available: https://www.intrafish.com/aquaculture/-the-only-thing-that-can-save-the-planet-hima-seafood-s-bold-bet-on-land-based-trout-farming/2-1-1879098</w:t>
      </w:r>
    </w:p>
    <w:p w14:paraId="081A5CF3"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[10]</w:t>
      </w:r>
      <w:r w:rsidRPr="00177BD5">
        <w:rPr>
          <w:rFonts w:ascii="Times New Roman" w:hAnsi="Times New Roman" w:cs="Times New Roman"/>
        </w:rPr>
        <w:tab/>
        <w:t>‘7. FRP Tanks 2’. Accessed: Mar. 21, 2026. [Online]. Available: https://almfiberglass.com/wp-content/uploads/2024/07/7.-FRP-Tanks-2.pdf</w:t>
      </w:r>
    </w:p>
    <w:p w14:paraId="766C7BAA"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[11]</w:t>
      </w:r>
      <w:r w:rsidRPr="00177BD5">
        <w:rPr>
          <w:rFonts w:ascii="Times New Roman" w:hAnsi="Times New Roman" w:cs="Times New Roman"/>
        </w:rPr>
        <w:tab/>
        <w:t>‘U-values’. Accessed: Mar. 21, 2026. [Online]. Available: https://www.designingbuildings.co.uk/wiki/U-values</w:t>
      </w:r>
    </w:p>
    <w:p w14:paraId="3AD11B19"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[12]</w:t>
      </w:r>
      <w:r w:rsidRPr="00177BD5">
        <w:rPr>
          <w:rFonts w:ascii="Times New Roman" w:hAnsi="Times New Roman" w:cs="Times New Roman"/>
        </w:rPr>
        <w:tab/>
        <w:t>‘GRP sectional tanks’, Balmoral Tanks. Accessed: Mar. 21, 2026. [Online]. Available: https://www.balmoraltanks.com/solutions/grp-sectional-tanks</w:t>
      </w:r>
    </w:p>
    <w:p w14:paraId="03096F1E"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[13]</w:t>
      </w:r>
      <w:r w:rsidRPr="00177BD5">
        <w:rPr>
          <w:rFonts w:ascii="Times New Roman" w:hAnsi="Times New Roman" w:cs="Times New Roman"/>
        </w:rPr>
        <w:tab/>
        <w:t>‘Small Scale Rainbow Trout Farming - Ideal Temperature For Rainbow Trout Farming’. Accessed: Mar. 21, 2026. [Online]. Available: https://sites.google.com/view/smallscalerainbowtroutfarm/ideal-temperature-for-rainbow-trout-farming</w:t>
      </w:r>
    </w:p>
    <w:p w14:paraId="1BF88DFE"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[14]</w:t>
      </w:r>
      <w:r w:rsidRPr="00177BD5">
        <w:rPr>
          <w:rFonts w:ascii="Times New Roman" w:hAnsi="Times New Roman" w:cs="Times New Roman"/>
        </w:rPr>
        <w:tab/>
        <w:t>‘5. Marine aquaculture in the Nordics - Nordic Oceans 2050’. Accessed: Mar. 21, 2026. [Online]. Available: https://pub.norden.org/nordicinnovation2025-05/5-marine-aquaculture-in-the-nordics.html</w:t>
      </w:r>
    </w:p>
    <w:p w14:paraId="296C16AE"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[15]</w:t>
      </w:r>
      <w:r w:rsidRPr="00177BD5">
        <w:rPr>
          <w:rFonts w:ascii="Times New Roman" w:hAnsi="Times New Roman" w:cs="Times New Roman"/>
        </w:rPr>
        <w:tab/>
        <w:t>‘Berlevåg Climate, Weather By Month, Average Temperature (Norway) - Weather Spark’. Accessed: Mar. 22, 2026. [Online]. Available: https://weatherspark.com/y/96283/Average-Weather-in-Berlev%C3%A5g-Norway-Year-Round</w:t>
      </w:r>
    </w:p>
    <w:p w14:paraId="32AECDAE"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[16]</w:t>
      </w:r>
      <w:r w:rsidRPr="00177BD5">
        <w:rPr>
          <w:rFonts w:ascii="Times New Roman" w:hAnsi="Times New Roman" w:cs="Times New Roman"/>
        </w:rPr>
        <w:tab/>
        <w:t>‘Visiting Berlevåg: Winds of Change’, Arctic Economic Council. Accessed: Mar. 22, 2026. [Online]. Available: https://arcticeconomiccouncil.com/news/winds-of-change/</w:t>
      </w:r>
    </w:p>
    <w:p w14:paraId="77155616"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[17]</w:t>
      </w:r>
      <w:r w:rsidRPr="00177BD5">
        <w:rPr>
          <w:rFonts w:ascii="Times New Roman" w:hAnsi="Times New Roman" w:cs="Times New Roman"/>
        </w:rPr>
        <w:tab/>
        <w:t>‘Lettuce Growing Guide’, Southern Exposure Seed Exchange. Accessed: Mar. 22, 2026. [Online]. Available: https://www.southernexposure.com/lettuce-growing-guide/</w:t>
      </w:r>
    </w:p>
    <w:p w14:paraId="08948DF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[18]</w:t>
      </w:r>
      <w:r w:rsidRPr="00177BD5">
        <w:rPr>
          <w:rFonts w:ascii="Times New Roman" w:hAnsi="Times New Roman" w:cs="Times New Roman"/>
        </w:rPr>
        <w:tab/>
        <w:t xml:space="preserve">F. Pelella </w:t>
      </w:r>
      <w:r w:rsidRPr="00177BD5">
        <w:rPr>
          <w:rFonts w:ascii="Times New Roman" w:hAnsi="Times New Roman" w:cs="Times New Roman"/>
          <w:i/>
          <w:iCs/>
        </w:rPr>
        <w:t>et al.</w:t>
      </w:r>
      <w:r w:rsidRPr="00177BD5">
        <w:rPr>
          <w:rFonts w:ascii="Times New Roman" w:hAnsi="Times New Roman" w:cs="Times New Roman"/>
        </w:rPr>
        <w:t xml:space="preserve">, ‘Thermo-economic optimization of vertical farms exploring multiple design options for the built environment and HVAC system’, </w:t>
      </w:r>
      <w:r w:rsidRPr="00177BD5">
        <w:rPr>
          <w:rFonts w:ascii="Times New Roman" w:hAnsi="Times New Roman" w:cs="Times New Roman"/>
          <w:i/>
          <w:iCs/>
        </w:rPr>
        <w:t>Appl. Therm. Eng.</w:t>
      </w:r>
      <w:r w:rsidRPr="00177BD5">
        <w:rPr>
          <w:rFonts w:ascii="Times New Roman" w:hAnsi="Times New Roman" w:cs="Times New Roman"/>
        </w:rPr>
        <w:t>, vol. 279, p. 127623, Nov. 2025, doi: 10.1016/j.applthermaleng.2025.127623.</w:t>
      </w:r>
    </w:p>
    <w:p w14:paraId="46162B7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lastRenderedPageBreak/>
        <w:t>[19]</w:t>
      </w:r>
      <w:r w:rsidRPr="00177BD5">
        <w:rPr>
          <w:rFonts w:ascii="Times New Roman" w:hAnsi="Times New Roman" w:cs="Times New Roman"/>
        </w:rPr>
        <w:tab/>
        <w:t>‘U-Value Calculator : ChangePlan’. Accessed: Mar. 22, 2026. [Online]. Available: https://www.changeplan.co.uk/u_value_calculator.php</w:t>
      </w:r>
    </w:p>
    <w:p w14:paraId="5B8D8689"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[20]</w:t>
      </w:r>
      <w:r w:rsidRPr="00177BD5">
        <w:rPr>
          <w:rFonts w:ascii="Times New Roman" w:hAnsi="Times New Roman" w:cs="Times New Roman"/>
        </w:rPr>
        <w:tab/>
        <w:t>‘Home’, Greenphyto. Accessed: Mar. 25, 2026. [Online]. Available: https://greenphyto.com/</w:t>
      </w:r>
    </w:p>
    <w:p w14:paraId="5F6F129B"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[21]</w:t>
      </w:r>
      <w:r w:rsidRPr="00177BD5">
        <w:rPr>
          <w:rFonts w:ascii="Times New Roman" w:hAnsi="Times New Roman" w:cs="Times New Roman"/>
        </w:rPr>
        <w:tab/>
      </w:r>
      <w:r w:rsidRPr="00177BD5">
        <w:rPr>
          <w:rFonts w:ascii="Times New Roman" w:hAnsi="Times New Roman" w:cs="Times New Roman"/>
          <w:i/>
          <w:iCs/>
        </w:rPr>
        <w:t>Google Earth Pro</w:t>
      </w:r>
      <w:r w:rsidRPr="00177BD5">
        <w:rPr>
          <w:rFonts w:ascii="Times New Roman" w:hAnsi="Times New Roman" w:cs="Times New Roman"/>
        </w:rPr>
        <w:t>. (Sep. 03, 2025). Google.</w:t>
      </w:r>
    </w:p>
    <w:p w14:paraId="4329A02C"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[22]</w:t>
      </w:r>
      <w:r w:rsidRPr="00177BD5">
        <w:rPr>
          <w:rFonts w:ascii="Times New Roman" w:hAnsi="Times New Roman" w:cs="Times New Roman"/>
        </w:rPr>
        <w:tab/>
        <w:t>‘Haeolus – Hydrogen-Aeolic Energy with Optimised eLectrolysers Upstream of Substation’. Accessed: Mar. 06, 2026. [Online]. Available: https://haeolus.eu/</w:t>
      </w:r>
    </w:p>
    <w:p w14:paraId="2EF285FC"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[23]</w:t>
      </w:r>
      <w:r w:rsidRPr="00177BD5">
        <w:rPr>
          <w:rFonts w:ascii="Times New Roman" w:hAnsi="Times New Roman" w:cs="Times New Roman"/>
        </w:rPr>
        <w:tab/>
        <w:t xml:space="preserve">D. Virah-Sawmy, F. J. Beck, and B. Sturmberg, ‘Ignore variability, overestimate hydrogen production – Quantifying the effects of electrolyzer efficiency curves on hydrogen production from renewable energy sources’, </w:t>
      </w:r>
      <w:r w:rsidRPr="00177BD5">
        <w:rPr>
          <w:rFonts w:ascii="Times New Roman" w:hAnsi="Times New Roman" w:cs="Times New Roman"/>
          <w:i/>
          <w:iCs/>
        </w:rPr>
        <w:t>Int. J. Hydrog. Energy</w:t>
      </w:r>
      <w:r w:rsidRPr="00177BD5">
        <w:rPr>
          <w:rFonts w:ascii="Times New Roman" w:hAnsi="Times New Roman" w:cs="Times New Roman"/>
        </w:rPr>
        <w:t>, vol. 72, pp. 49–59, Jun. 2024, doi: 10.1016/j.ijhydene.2024.05.360.</w:t>
      </w:r>
    </w:p>
    <w:p w14:paraId="290AF1C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[24]</w:t>
      </w:r>
      <w:r w:rsidRPr="00177BD5">
        <w:rPr>
          <w:rFonts w:ascii="Times New Roman" w:hAnsi="Times New Roman" w:cs="Times New Roman"/>
        </w:rPr>
        <w:tab/>
        <w:t xml:space="preserve">A. Godula-Jopek, </w:t>
      </w:r>
      <w:r w:rsidRPr="00177BD5">
        <w:rPr>
          <w:rFonts w:ascii="Times New Roman" w:hAnsi="Times New Roman" w:cs="Times New Roman"/>
          <w:i/>
          <w:iCs/>
        </w:rPr>
        <w:t>Hydrogen Production by Electrolysis</w:t>
      </w:r>
      <w:r w:rsidRPr="00177BD5">
        <w:rPr>
          <w:rFonts w:ascii="Times New Roman" w:hAnsi="Times New Roman" w:cs="Times New Roman"/>
        </w:rPr>
        <w:t>. 2015.</w:t>
      </w:r>
    </w:p>
    <w:p w14:paraId="40F4CC5F" w14:textId="4EA66CAF"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7B3F2" w14:textId="77777777" w:rsidR="005A7730" w:rsidRDefault="005A7730">
      <w:r>
        <w:separator/>
      </w:r>
    </w:p>
  </w:endnote>
  <w:endnote w:type="continuationSeparator" w:id="0">
    <w:p w14:paraId="7DB5C55E" w14:textId="77777777" w:rsidR="005A7730" w:rsidRDefault="005A7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AA21E" w14:textId="77777777" w:rsidR="005A7730" w:rsidRDefault="005A7730">
      <w:r>
        <w:separator/>
      </w:r>
    </w:p>
  </w:footnote>
  <w:footnote w:type="continuationSeparator" w:id="0">
    <w:p w14:paraId="53C1C26F" w14:textId="77777777" w:rsidR="005A7730" w:rsidRDefault="005A7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berschrift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berschrift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berschrift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berschrift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67E4"/>
    <w:rsid w:val="00056FC8"/>
    <w:rsid w:val="00061646"/>
    <w:rsid w:val="000632DE"/>
    <w:rsid w:val="000668E9"/>
    <w:rsid w:val="00073583"/>
    <w:rsid w:val="000740FC"/>
    <w:rsid w:val="00077E31"/>
    <w:rsid w:val="00081773"/>
    <w:rsid w:val="000818AF"/>
    <w:rsid w:val="00081CB8"/>
    <w:rsid w:val="00084A61"/>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5F4"/>
    <w:rsid w:val="00354FD8"/>
    <w:rsid w:val="00355BD0"/>
    <w:rsid w:val="0036011F"/>
    <w:rsid w:val="00361227"/>
    <w:rsid w:val="00362543"/>
    <w:rsid w:val="0036444D"/>
    <w:rsid w:val="003649D5"/>
    <w:rsid w:val="00365DE3"/>
    <w:rsid w:val="00366C7A"/>
    <w:rsid w:val="0036783F"/>
    <w:rsid w:val="00371C4D"/>
    <w:rsid w:val="00372E61"/>
    <w:rsid w:val="003747B9"/>
    <w:rsid w:val="0037582B"/>
    <w:rsid w:val="00376260"/>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73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08D5"/>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B28"/>
    <w:rsid w:val="007E4D8D"/>
    <w:rsid w:val="007E5F71"/>
    <w:rsid w:val="007E612B"/>
    <w:rsid w:val="007F096A"/>
    <w:rsid w:val="007F3A91"/>
    <w:rsid w:val="007F6EB0"/>
    <w:rsid w:val="007F7599"/>
    <w:rsid w:val="007F7651"/>
    <w:rsid w:val="007F7FC9"/>
    <w:rsid w:val="00800B8F"/>
    <w:rsid w:val="008019DA"/>
    <w:rsid w:val="00801ED8"/>
    <w:rsid w:val="00802B44"/>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2178"/>
    <w:rsid w:val="00C4425C"/>
    <w:rsid w:val="00C45607"/>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B0B"/>
    <w:rsid w:val="00C83BB0"/>
    <w:rsid w:val="00C8487D"/>
    <w:rsid w:val="00C84F8D"/>
    <w:rsid w:val="00C859AC"/>
    <w:rsid w:val="00C86BF5"/>
    <w:rsid w:val="00C86DEE"/>
    <w:rsid w:val="00C86FEE"/>
    <w:rsid w:val="00C8731F"/>
    <w:rsid w:val="00C92D8A"/>
    <w:rsid w:val="00C93B07"/>
    <w:rsid w:val="00CA2FC3"/>
    <w:rsid w:val="00CA362C"/>
    <w:rsid w:val="00CA6A26"/>
    <w:rsid w:val="00CB22BC"/>
    <w:rsid w:val="00CB2B1E"/>
    <w:rsid w:val="00CB5B52"/>
    <w:rsid w:val="00CB6A56"/>
    <w:rsid w:val="00CB7155"/>
    <w:rsid w:val="00CB7406"/>
    <w:rsid w:val="00CC4899"/>
    <w:rsid w:val="00CC5083"/>
    <w:rsid w:val="00CD278B"/>
    <w:rsid w:val="00CD326A"/>
    <w:rsid w:val="00CD400B"/>
    <w:rsid w:val="00CD71FD"/>
    <w:rsid w:val="00CD7398"/>
    <w:rsid w:val="00CE061D"/>
    <w:rsid w:val="00CE356B"/>
    <w:rsid w:val="00CF14F2"/>
    <w:rsid w:val="00D03382"/>
    <w:rsid w:val="00D05A97"/>
    <w:rsid w:val="00D07AA9"/>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D26F35"/>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B10950"/>
    <w:pPr>
      <w:keepNext/>
      <w:keepLines/>
      <w:spacing w:before="480" w:after="480" w:line="240" w:lineRule="auto"/>
      <w:ind w:right="-1"/>
      <w:outlineLvl w:val="1"/>
    </w:pPr>
    <w:rPr>
      <w:b/>
      <w:bCs/>
      <w:sz w:val="28"/>
      <w:szCs w:val="28"/>
      <w:lang w:val="en-GB" w:eastAsia="en-US"/>
    </w:rPr>
  </w:style>
  <w:style w:type="paragraph" w:styleId="berschrift3">
    <w:name w:val="heading 3"/>
    <w:basedOn w:val="Standard"/>
    <w:next w:val="Standard"/>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berschrift4">
    <w:name w:val="heading 4"/>
    <w:aliases w:val="Symbolilista"/>
    <w:basedOn w:val="Standard"/>
    <w:next w:val="Standard"/>
    <w:qFormat/>
    <w:rsid w:val="00DE666F"/>
    <w:pPr>
      <w:keepNext/>
      <w:spacing w:after="0"/>
      <w:outlineLvl w:val="3"/>
    </w:pPr>
    <w:rPr>
      <w:bCs/>
      <w:szCs w:val="28"/>
    </w:rPr>
  </w:style>
  <w:style w:type="paragraph" w:styleId="berschrift5">
    <w:name w:val="heading 5"/>
    <w:aliases w:val="Kuva"/>
    <w:basedOn w:val="Standard"/>
    <w:next w:val="Standard"/>
    <w:autoRedefine/>
    <w:qFormat/>
    <w:rsid w:val="008B4C12"/>
    <w:p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berschrift8">
    <w:name w:val="heading 8"/>
    <w:aliases w:val="Table"/>
    <w:basedOn w:val="Standard"/>
    <w:next w:val="Standard"/>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berschrift9">
    <w:name w:val="heading 9"/>
    <w:basedOn w:val="Standard"/>
    <w:next w:val="Standard"/>
    <w:rsid w:val="00E35506"/>
    <w:pPr>
      <w:spacing w:before="240" w:after="60"/>
      <w:outlineLvl w:val="8"/>
    </w:pPr>
    <w:rPr>
      <w:rFonts w:ascii="Arial" w:hAnsi="Arial" w:cs="Arial"/>
      <w:b/>
      <w:bCs/>
      <w:i/>
      <w:iCs/>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B10950"/>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16</Pages>
  <Words>7853</Words>
  <Characters>41231</Characters>
  <Application>Microsoft Office Word</Application>
  <DocSecurity>0</DocSecurity>
  <Lines>1145</Lines>
  <Paragraphs>981</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48103</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32</cp:revision>
  <cp:lastPrinted>2026-03-14T13:50:00Z</cp:lastPrinted>
  <dcterms:created xsi:type="dcterms:W3CDTF">2025-12-19T21:09:00Z</dcterms:created>
  <dcterms:modified xsi:type="dcterms:W3CDTF">2026-03-25T09:00:00Z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