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6A2" w:rsidRPr="00792ABA" w:rsidRDefault="00792ABA">
      <w:pPr>
        <w:spacing w:before="400" w:after="120"/>
        <w:jc w:val="center"/>
        <w:rPr>
          <w:rFonts w:ascii="Times New Roman" w:hAnsi="Times New Roman" w:cs="Times New Roman"/>
        </w:rPr>
      </w:pPr>
      <w:r w:rsidRPr="00792ABA">
        <w:rPr>
          <w:rFonts w:ascii="Times New Roman" w:hAnsi="Times New Roman" w:cs="Times New Roman"/>
          <w:b/>
          <w:bCs/>
          <w:sz w:val="44"/>
          <w:szCs w:val="44"/>
        </w:rPr>
        <w:t xml:space="preserve">AI-Assisted Geothermal Feasibility and </w:t>
      </w:r>
      <w:proofErr w:type="spellStart"/>
      <w:r w:rsidRPr="00792ABA">
        <w:rPr>
          <w:rFonts w:ascii="Times New Roman" w:hAnsi="Times New Roman" w:cs="Times New Roman"/>
          <w:b/>
          <w:bCs/>
          <w:sz w:val="44"/>
          <w:szCs w:val="44"/>
        </w:rPr>
        <w:t>Optimisation</w:t>
      </w:r>
      <w:proofErr w:type="spellEnd"/>
      <w:r w:rsidRPr="00792ABA">
        <w:rPr>
          <w:rFonts w:ascii="Times New Roman" w:hAnsi="Times New Roman" w:cs="Times New Roman"/>
          <w:b/>
          <w:bCs/>
          <w:sz w:val="44"/>
          <w:szCs w:val="44"/>
        </w:rPr>
        <w:t xml:space="preserve"> Workflow</w:t>
      </w:r>
    </w:p>
    <w:p w:rsidR="003056A2" w:rsidRPr="00792ABA" w:rsidRDefault="00AC1172">
      <w:pPr>
        <w:spacing w:after="80"/>
        <w:jc w:val="center"/>
        <w:rPr>
          <w:rFonts w:ascii="Times New Roman" w:hAnsi="Times New Roman" w:cs="Times New Roman"/>
        </w:rPr>
      </w:pPr>
      <w:r w:rsidRPr="00792ABA">
        <w:rPr>
          <w:rFonts w:ascii="Times New Roman" w:hAnsi="Times New Roman" w:cs="Times New Roman"/>
          <w:b/>
          <w:bCs/>
          <w:sz w:val="36"/>
          <w:szCs w:val="36"/>
        </w:rPr>
        <w:t>For</w:t>
      </w:r>
      <w:r w:rsidR="00792ABA" w:rsidRPr="00792ABA">
        <w:rPr>
          <w:rFonts w:ascii="Times New Roman" w:hAnsi="Times New Roman" w:cs="Times New Roman"/>
          <w:b/>
          <w:bCs/>
          <w:sz w:val="36"/>
          <w:szCs w:val="36"/>
        </w:rPr>
        <w:t xml:space="preserve"> Sustainable Urban Heating and Cooling</w:t>
      </w:r>
    </w:p>
    <w:p w:rsidR="003056A2" w:rsidRPr="00792ABA" w:rsidRDefault="00792ABA">
      <w:pPr>
        <w:spacing w:before="120" w:after="80"/>
        <w:jc w:val="center"/>
        <w:rPr>
          <w:rFonts w:ascii="Times New Roman" w:hAnsi="Times New Roman" w:cs="Times New Roman"/>
          <w:b/>
        </w:rPr>
      </w:pPr>
      <w:r w:rsidRPr="00792ABA">
        <w:rPr>
          <w:rFonts w:ascii="Times New Roman" w:hAnsi="Times New Roman" w:cs="Times New Roman"/>
          <w:b/>
          <w:bCs/>
          <w:sz w:val="26"/>
          <w:szCs w:val="26"/>
        </w:rPr>
        <w:t>Team: Thermal Edge Geo AI</w:t>
      </w:r>
    </w:p>
    <w:p w:rsidR="003056A2" w:rsidRPr="00792ABA" w:rsidRDefault="00792ABA">
      <w:pPr>
        <w:spacing w:after="80"/>
        <w:jc w:val="center"/>
        <w:rPr>
          <w:rFonts w:ascii="Times New Roman" w:hAnsi="Times New Roman" w:cs="Times New Roman"/>
          <w:b/>
        </w:rPr>
      </w:pPr>
      <w:r w:rsidRPr="00792ABA">
        <w:rPr>
          <w:rFonts w:ascii="Times New Roman" w:hAnsi="Times New Roman" w:cs="Times New Roman"/>
          <w:b/>
          <w:iCs/>
        </w:rPr>
        <w:t xml:space="preserve">SPE Africa Geothermal </w:t>
      </w:r>
      <w:proofErr w:type="spellStart"/>
      <w:r w:rsidRPr="00792ABA">
        <w:rPr>
          <w:rFonts w:ascii="Times New Roman" w:hAnsi="Times New Roman" w:cs="Times New Roman"/>
          <w:b/>
          <w:iCs/>
        </w:rPr>
        <w:t>Datathon</w:t>
      </w:r>
      <w:proofErr w:type="spellEnd"/>
      <w:r w:rsidRPr="00792ABA">
        <w:rPr>
          <w:rFonts w:ascii="Times New Roman" w:hAnsi="Times New Roman" w:cs="Times New Roman"/>
          <w:b/>
          <w:iCs/>
        </w:rPr>
        <w:t xml:space="preserve"> 2026</w:t>
      </w:r>
    </w:p>
    <w:p w:rsidR="003056A2" w:rsidRPr="00792ABA" w:rsidRDefault="00792ABA" w:rsidP="00AC1172"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92ABA">
        <w:rPr>
          <w:rFonts w:ascii="Times New Roman" w:hAnsi="Times New Roman" w:cs="Times New Roman"/>
          <w:color w:val="auto"/>
          <w:sz w:val="24"/>
          <w:szCs w:val="24"/>
        </w:rPr>
        <w:t>Team Overview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 xml:space="preserve">The Thermal Edge Geo AI team consists of five </w:t>
      </w:r>
      <w:r w:rsidR="00AC1172" w:rsidRPr="00792ABA">
        <w:rPr>
          <w:rFonts w:ascii="Times New Roman" w:hAnsi="Times New Roman" w:cs="Times New Roman"/>
          <w:sz w:val="24"/>
          <w:szCs w:val="24"/>
        </w:rPr>
        <w:t>specialized</w:t>
      </w:r>
      <w:r w:rsidRPr="00792ABA">
        <w:rPr>
          <w:rFonts w:ascii="Times New Roman" w:hAnsi="Times New Roman" w:cs="Times New Roman"/>
          <w:sz w:val="24"/>
          <w:szCs w:val="24"/>
        </w:rPr>
        <w:t xml:space="preserve"> roles that bridge geoscience, data science, engineering and economics:</w:t>
      </w: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056A2" w:rsidRPr="00792A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Key Responsibility</w:t>
            </w:r>
          </w:p>
        </w:tc>
      </w:tr>
      <w:tr w:rsidR="003056A2" w:rsidRPr="00792A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Neemah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Team Lead &amp; AI Engineer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Coordinates the project and develops the XGBoost machine learning models to predict missing reservoir data, fulfilling the Bonus Challenge.</w:t>
            </w:r>
          </w:p>
        </w:tc>
      </w:tr>
      <w:tr w:rsidR="003056A2" w:rsidRPr="00792A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Tosin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Reservoir &amp; Subsurface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Evaluates the Rotliegend sandstone reservoir parameters (temperature, porosity, permeability) to confirm it can sustain the district's energy demands.</w:t>
            </w:r>
          </w:p>
        </w:tc>
      </w:tr>
      <w:tr w:rsidR="003056A2" w:rsidRPr="00792A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Sakeenah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Surface Energy Systems Analyst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Designs the surface architecture, sizing the heat pumps, absorpt</w:t>
            </w:r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ion chillers and thermal storage to meet the exact heating and cooling targets.</w:t>
            </w:r>
          </w:p>
        </w:tc>
      </w:tr>
      <w:tr w:rsidR="003056A2" w:rsidRPr="00792A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Hafsah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Strategy, GIS &amp; Reporting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Owns spatial mapping, strategic policy framing and the final presentation of the project narrative.</w:t>
            </w:r>
          </w:p>
        </w:tc>
      </w:tr>
      <w:tr w:rsidR="003056A2" w:rsidRPr="00792AB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Habeeb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Economic &amp; Financial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6A2" w:rsidRPr="00792ABA" w:rsidRDefault="00792ABA" w:rsidP="00AC11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Builds the financial models to calculate the </w:t>
            </w:r>
            <w:proofErr w:type="spellStart"/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Levelized</w:t>
            </w:r>
            <w:proofErr w:type="spellEnd"/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Cost of Energy (</w:t>
            </w:r>
            <w:proofErr w:type="spellStart"/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LCoE</w:t>
            </w:r>
            <w:proofErr w:type="spellEnd"/>
            <w:r w:rsidRPr="00792A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and runs sensitivity analyses to prove economic viability.</w:t>
            </w:r>
          </w:p>
        </w:tc>
      </w:tr>
    </w:tbl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End to </w:t>
      </w:r>
      <w:r w:rsidRPr="00792ABA">
        <w:rPr>
          <w:rFonts w:ascii="Times New Roman" w:hAnsi="Times New Roman" w:cs="Times New Roman"/>
          <w:color w:val="auto"/>
          <w:sz w:val="24"/>
          <w:szCs w:val="24"/>
        </w:rPr>
        <w:t>End Workflow: AI-Assisted Feasibility and Optimization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team's end to </w:t>
      </w:r>
      <w:bookmarkStart w:id="0" w:name="_GoBack"/>
      <w:bookmarkEnd w:id="0"/>
      <w:r w:rsidRPr="00792ABA">
        <w:rPr>
          <w:rFonts w:ascii="Times New Roman" w:hAnsi="Times New Roman" w:cs="Times New Roman"/>
          <w:sz w:val="24"/>
          <w:szCs w:val="24"/>
        </w:rPr>
        <w:t>end workflow successfully automates the evaluation of the Utrecht district geothermal project across four main phases:</w:t>
      </w: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Phase 1: </w:t>
      </w: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AI-Powered Subsurface Assessment: </w:t>
      </w:r>
      <w:r w:rsidRPr="00792ABA">
        <w:rPr>
          <w:rFonts w:ascii="Times New Roman" w:hAnsi="Times New Roman" w:cs="Times New Roman"/>
          <w:sz w:val="24"/>
          <w:szCs w:val="24"/>
        </w:rPr>
        <w:t>Uses an XGBoost quantile r</w:t>
      </w:r>
      <w:r>
        <w:rPr>
          <w:rFonts w:ascii="Times New Roman" w:hAnsi="Times New Roman" w:cs="Times New Roman"/>
          <w:sz w:val="24"/>
          <w:szCs w:val="24"/>
        </w:rPr>
        <w:t xml:space="preserve">egression model trained on data </w:t>
      </w:r>
      <w:r w:rsidRPr="00792ABA">
        <w:rPr>
          <w:rFonts w:ascii="Times New Roman" w:hAnsi="Times New Roman" w:cs="Times New Roman"/>
          <w:sz w:val="24"/>
          <w:szCs w:val="24"/>
        </w:rPr>
        <w:t>rich wells (BLT-</w:t>
      </w:r>
      <w:r w:rsidRPr="00792ABA">
        <w:rPr>
          <w:rFonts w:ascii="Times New Roman" w:hAnsi="Times New Roman" w:cs="Times New Roman"/>
          <w:sz w:val="24"/>
          <w:szCs w:val="24"/>
        </w:rPr>
        <w:t>01, PKP-01) to mathematically predict missing permeability and well logs in EVD-01 and JUT-01, generating P10, P50 and P90 confidence estimates.</w:t>
      </w: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Phase 2: </w:t>
      </w: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Automated Feasibility Reporting: </w:t>
      </w:r>
      <w:r w:rsidRPr="00792ABA">
        <w:rPr>
          <w:rFonts w:ascii="Times New Roman" w:hAnsi="Times New Roman" w:cs="Times New Roman"/>
          <w:sz w:val="24"/>
          <w:szCs w:val="24"/>
        </w:rPr>
        <w:t xml:space="preserve">The pipeline evaluates subsurface capacity and uses the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llama-3</w:t>
      </w:r>
      <w:r w:rsidRPr="00792ABA">
        <w:rPr>
          <w:rFonts w:ascii="Times New Roman" w:hAnsi="Times New Roman" w:cs="Times New Roman"/>
          <w:sz w:val="24"/>
          <w:szCs w:val="24"/>
        </w:rPr>
        <w:t>.3-70b large language model to automatically generate structured petrophysical viability reports.</w:t>
      </w: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Phase 3: </w:t>
      </w: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 Surface System Balancing: </w:t>
      </w:r>
      <w:r w:rsidRPr="00792ABA">
        <w:rPr>
          <w:rFonts w:ascii="Times New Roman" w:hAnsi="Times New Roman" w:cs="Times New Roman"/>
          <w:sz w:val="24"/>
          <w:szCs w:val="24"/>
        </w:rPr>
        <w:t xml:space="preserve">Extracts exactly 14.14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of geothermal energy to power a heat pump (COP 4.0) and an absorption chiller (COP 0.7). This </w:t>
      </w:r>
      <w:r w:rsidRPr="00792ABA">
        <w:rPr>
          <w:rFonts w:ascii="Times New Roman" w:hAnsi="Times New Roman" w:cs="Times New Roman"/>
          <w:sz w:val="24"/>
          <w:szCs w:val="24"/>
        </w:rPr>
        <w:t xml:space="preserve">meets the 10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heating and 5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cooling targets while bottlenecking grid electricity usage to just 0.9 MW.</w:t>
      </w: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>Phase 4:</w:t>
      </w: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 Economic Optimization</w:t>
      </w: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 Engine: </w:t>
      </w:r>
      <w:r w:rsidRPr="00792ABA">
        <w:rPr>
          <w:rFonts w:ascii="Times New Roman" w:hAnsi="Times New Roman" w:cs="Times New Roman"/>
          <w:sz w:val="24"/>
          <w:szCs w:val="24"/>
        </w:rPr>
        <w:t>An automated Python parametric sweep runs sensitivity analyses on high-risk variables such as drilling c</w:t>
      </w:r>
      <w:r w:rsidRPr="00792ABA">
        <w:rPr>
          <w:rFonts w:ascii="Times New Roman" w:hAnsi="Times New Roman" w:cs="Times New Roman"/>
          <w:sz w:val="24"/>
          <w:szCs w:val="24"/>
        </w:rPr>
        <w:t xml:space="preserve">osts and electricity prices. This calculates a resilient baseline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LCoE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of €28.53/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MWhth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and generates Tornado charts to prove the system's financial stability.</w:t>
      </w: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92ABA">
        <w:rPr>
          <w:rFonts w:ascii="Times New Roman" w:hAnsi="Times New Roman" w:cs="Times New Roman"/>
          <w:color w:val="auto"/>
          <w:sz w:val="24"/>
          <w:szCs w:val="24"/>
        </w:rPr>
        <w:t>1. Executive Summary and Strategic Motivation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 xml:space="preserve">This project presents an integrated geothermal </w:t>
      </w:r>
      <w:r w:rsidRPr="00792ABA">
        <w:rPr>
          <w:rFonts w:ascii="Times New Roman" w:hAnsi="Times New Roman" w:cs="Times New Roman"/>
          <w:sz w:val="24"/>
          <w:szCs w:val="24"/>
        </w:rPr>
        <w:t xml:space="preserve">based heating and cooling system designed for a mixed </w:t>
      </w:r>
      <w:r w:rsidRPr="00792ABA">
        <w:rPr>
          <w:rFonts w:ascii="Times New Roman" w:hAnsi="Times New Roman" w:cs="Times New Roman"/>
          <w:sz w:val="24"/>
          <w:szCs w:val="24"/>
        </w:rPr>
        <w:t>use urban district in the Utrecht region. Driven by the need to reduce greenhouse gas emissions and natural gas dependency, our design targets the Rotliege</w:t>
      </w:r>
      <w:r w:rsidRPr="00792ABA">
        <w:rPr>
          <w:rFonts w:ascii="Times New Roman" w:hAnsi="Times New Roman" w:cs="Times New Roman"/>
          <w:sz w:val="24"/>
          <w:szCs w:val="24"/>
        </w:rPr>
        <w:t xml:space="preserve">nd sandstone reservoir to supply a baseline demand of at least 10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for heating and 5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for cooling. By employing an AI-assisted workflow and rigorous surface system balancing, our solution successfully meets the target, utilizing</w:t>
      </w:r>
      <w:r w:rsidRPr="00792ABA">
        <w:rPr>
          <w:rFonts w:ascii="Times New Roman" w:hAnsi="Times New Roman" w:cs="Times New Roman"/>
          <w:sz w:val="24"/>
          <w:szCs w:val="24"/>
        </w:rPr>
        <w:t xml:space="preserve"> 14.14 MW of total g</w:t>
      </w:r>
      <w:r w:rsidRPr="00792ABA">
        <w:rPr>
          <w:rFonts w:ascii="Times New Roman" w:hAnsi="Times New Roman" w:cs="Times New Roman"/>
          <w:sz w:val="24"/>
          <w:szCs w:val="24"/>
        </w:rPr>
        <w:t>eothermal power while minimizing</w:t>
      </w:r>
      <w:r w:rsidRPr="00792ABA">
        <w:rPr>
          <w:rFonts w:ascii="Times New Roman" w:hAnsi="Times New Roman" w:cs="Times New Roman"/>
          <w:sz w:val="24"/>
          <w:szCs w:val="24"/>
        </w:rPr>
        <w:t xml:space="preserve"> electrical load.</w:t>
      </w: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92ABA">
        <w:rPr>
          <w:rFonts w:ascii="Times New Roman" w:hAnsi="Times New Roman" w:cs="Times New Roman"/>
          <w:color w:val="auto"/>
          <w:sz w:val="24"/>
          <w:szCs w:val="24"/>
        </w:rPr>
        <w:t>2. Methodology and Assumptions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>Our integrated workflow bridges subsurface capacity with surface demand using the following baseline assumptions:</w:t>
      </w: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Subsurface and Reservoir: </w:t>
      </w:r>
      <w:r w:rsidRPr="00792ABA">
        <w:rPr>
          <w:rFonts w:ascii="Times New Roman" w:hAnsi="Times New Roman" w:cs="Times New Roman"/>
          <w:sz w:val="24"/>
          <w:szCs w:val="24"/>
        </w:rPr>
        <w:t>We assumed an average geothermal</w:t>
      </w:r>
      <w:r w:rsidRPr="00792ABA">
        <w:rPr>
          <w:rFonts w:ascii="Times New Roman" w:hAnsi="Times New Roman" w:cs="Times New Roman"/>
          <w:sz w:val="24"/>
          <w:szCs w:val="24"/>
        </w:rPr>
        <w:t xml:space="preserve"> gradient of 32 °C/km, a surface temperature of 15 °C, a reservoir area of 8 km², a heat recovery factor of 20%, and a thermal lifetime of 30 years. Permeability was estimated empirically based on available porosity trends.</w:t>
      </w: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Surface System: </w:t>
      </w:r>
      <w:r w:rsidRPr="00792ABA">
        <w:rPr>
          <w:rFonts w:ascii="Times New Roman" w:hAnsi="Times New Roman" w:cs="Times New Roman"/>
          <w:sz w:val="24"/>
          <w:szCs w:val="24"/>
        </w:rPr>
        <w:t>The system assum</w:t>
      </w:r>
      <w:r w:rsidRPr="00792ABA">
        <w:rPr>
          <w:rFonts w:ascii="Times New Roman" w:hAnsi="Times New Roman" w:cs="Times New Roman"/>
          <w:sz w:val="24"/>
          <w:szCs w:val="24"/>
        </w:rPr>
        <w:t>es a heat pump Coefficient of Performance (COP) of 4.0 and an absorption chiller COP of 0.7.</w:t>
      </w: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92ABA">
        <w:rPr>
          <w:rFonts w:ascii="Times New Roman" w:hAnsi="Times New Roman" w:cs="Times New Roman"/>
          <w:color w:val="auto"/>
          <w:sz w:val="24"/>
          <w:szCs w:val="24"/>
        </w:rPr>
        <w:t>3. External Data and GIS Mapping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 xml:space="preserve">To supplement the provided data pack, we extracted external spatial and subsurface distributions from ThermoGIS (thermogis.nl). </w:t>
      </w:r>
      <w:r w:rsidRPr="00792ABA">
        <w:rPr>
          <w:rFonts w:ascii="Times New Roman" w:hAnsi="Times New Roman" w:cs="Times New Roman"/>
          <w:sz w:val="24"/>
          <w:szCs w:val="24"/>
        </w:rPr>
        <w:t>Specifically, we utilized</w:t>
      </w:r>
      <w:r w:rsidRPr="00792ABA">
        <w:rPr>
          <w:rFonts w:ascii="Times New Roman" w:hAnsi="Times New Roman" w:cs="Times New Roman"/>
          <w:sz w:val="24"/>
          <w:szCs w:val="24"/>
        </w:rPr>
        <w:t xml:space="preserve"> the platform to assess the Rotliegend formation's top depth, thickness and permeability distributions (P10, P50 and P90). OpenStreetMap data was utilized</w:t>
      </w:r>
      <w:r w:rsidRPr="00792ABA">
        <w:rPr>
          <w:rFonts w:ascii="Times New Roman" w:hAnsi="Times New Roman" w:cs="Times New Roman"/>
          <w:sz w:val="24"/>
          <w:szCs w:val="24"/>
        </w:rPr>
        <w:t xml:space="preserve"> to classify and map the urban district into residential, office and public f</w:t>
      </w:r>
      <w:r w:rsidRPr="00792ABA">
        <w:rPr>
          <w:rFonts w:ascii="Times New Roman" w:hAnsi="Times New Roman" w:cs="Times New Roman"/>
          <w:sz w:val="24"/>
          <w:szCs w:val="24"/>
        </w:rPr>
        <w:t>acility zoning to route the thermal network effectively.</w:t>
      </w:r>
    </w:p>
    <w:p w:rsidR="003056A2" w:rsidRPr="00792ABA" w:rsidRDefault="00AC1172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18123"/>
            <wp:effectExtent l="0" t="0" r="0" b="0"/>
            <wp:docPr id="1" name="Picture 1" descr="C:\Users\Administrator\AppData\Local\Microsoft\Windows\INetCache\Content.MSO\5294407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INetCache\Content.MSO\5294407F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Figure 1: </w:t>
      </w:r>
      <w:r w:rsidRPr="00792ABA">
        <w:rPr>
          <w:rFonts w:ascii="Times New Roman" w:hAnsi="Times New Roman" w:cs="Times New Roman"/>
          <w:i/>
          <w:iCs/>
          <w:sz w:val="24"/>
          <w:szCs w:val="24"/>
        </w:rPr>
        <w:t xml:space="preserve">Combined Site, Well and Energy Demand Map of Utrecht, mapping the 4 Rotliegend wells against the </w:t>
      </w:r>
      <w:proofErr w:type="spellStart"/>
      <w:r w:rsidRPr="00792ABA">
        <w:rPr>
          <w:rFonts w:ascii="Times New Roman" w:hAnsi="Times New Roman" w:cs="Times New Roman"/>
          <w:i/>
          <w:iCs/>
          <w:sz w:val="24"/>
          <w:szCs w:val="24"/>
        </w:rPr>
        <w:t>colour</w:t>
      </w:r>
      <w:proofErr w:type="spellEnd"/>
      <w:r w:rsidRPr="00792AB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92ABA">
        <w:rPr>
          <w:rFonts w:ascii="Times New Roman" w:hAnsi="Times New Roman" w:cs="Times New Roman"/>
          <w:i/>
          <w:iCs/>
          <w:sz w:val="24"/>
          <w:szCs w:val="24"/>
        </w:rPr>
        <w:t>coded residential, office and public facility zoning.</w:t>
      </w:r>
    </w:p>
    <w:p w:rsidR="00792ABA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92ABA">
        <w:rPr>
          <w:rFonts w:ascii="Times New Roman" w:hAnsi="Times New Roman" w:cs="Times New Roman"/>
          <w:color w:val="auto"/>
          <w:sz w:val="24"/>
          <w:szCs w:val="24"/>
        </w:rPr>
        <w:t>4. Reservoir Assessment (Cha</w:t>
      </w:r>
      <w:r w:rsidRPr="00792ABA">
        <w:rPr>
          <w:rFonts w:ascii="Times New Roman" w:hAnsi="Times New Roman" w:cs="Times New Roman"/>
          <w:color w:val="auto"/>
          <w:sz w:val="24"/>
          <w:szCs w:val="24"/>
        </w:rPr>
        <w:t>llenge 1)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>Our reservoir assessment was conducted in two phases to handle the incomplete datasets provided for the Rotliegend sandstone formation.</w:t>
      </w:r>
    </w:p>
    <w:p w:rsidR="003056A2" w:rsidRPr="00792ABA" w:rsidRDefault="00792ABA" w:rsidP="00AC1172">
      <w:pPr>
        <w:pStyle w:val="Heading2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92ABA">
        <w:rPr>
          <w:rFonts w:ascii="Times New Roman" w:hAnsi="Times New Roman" w:cs="Times New Roman"/>
          <w:color w:val="auto"/>
          <w:sz w:val="24"/>
          <w:szCs w:val="24"/>
        </w:rPr>
        <w:t>Phase 1: Preliminary Assessment (Raw Data)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>An initial evaluation of the four provided wells revealed significant data gaps:</w:t>
      </w: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BLT-01: </w:t>
      </w:r>
      <w:r w:rsidRPr="00792ABA">
        <w:rPr>
          <w:rFonts w:ascii="Times New Roman" w:hAnsi="Times New Roman" w:cs="Times New Roman"/>
          <w:sz w:val="24"/>
          <w:szCs w:val="24"/>
        </w:rPr>
        <w:t xml:space="preserve">Exhibited the best preliminary reservoir quality with an average porosity of 16.4%, a temperature of 78.6 °C and a potential of 34.62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>.</w:t>
      </w: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PKP-01: </w:t>
      </w:r>
      <w:r w:rsidRPr="00792ABA">
        <w:rPr>
          <w:rFonts w:ascii="Times New Roman" w:hAnsi="Times New Roman" w:cs="Times New Roman"/>
          <w:sz w:val="24"/>
          <w:szCs w:val="24"/>
        </w:rPr>
        <w:t>While deeper and ho</w:t>
      </w:r>
      <w:r w:rsidRPr="00792ABA">
        <w:rPr>
          <w:rFonts w:ascii="Times New Roman" w:hAnsi="Times New Roman" w:cs="Times New Roman"/>
          <w:sz w:val="24"/>
          <w:szCs w:val="24"/>
        </w:rPr>
        <w:t xml:space="preserve">tter at 97.1 °C, it exhibited a lower average porosity (9.0%), suggesting tighter reservoir conditions and a potential of 25.35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>.</w:t>
      </w: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Data Gaps: </w:t>
      </w:r>
      <w:r w:rsidRPr="00792ABA">
        <w:rPr>
          <w:rFonts w:ascii="Times New Roman" w:hAnsi="Times New Roman" w:cs="Times New Roman"/>
          <w:sz w:val="24"/>
          <w:szCs w:val="24"/>
        </w:rPr>
        <w:t>Wells EVD-01 and JUT-01 had limited porosity and permeability data, requiring data imputation to properly assess the region.</w:t>
      </w: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Heading2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92ABA">
        <w:rPr>
          <w:rFonts w:ascii="Times New Roman" w:hAnsi="Times New Roman" w:cs="Times New Roman"/>
          <w:color w:val="auto"/>
          <w:sz w:val="24"/>
          <w:szCs w:val="24"/>
        </w:rPr>
        <w:t>Phase 2: AI-Optimized</w:t>
      </w:r>
      <w:r w:rsidRPr="00792ABA">
        <w:rPr>
          <w:rFonts w:ascii="Times New Roman" w:hAnsi="Times New Roman" w:cs="Times New Roman"/>
          <w:color w:val="auto"/>
          <w:sz w:val="24"/>
          <w:szCs w:val="24"/>
        </w:rPr>
        <w:t xml:space="preserve"> Reservoir Model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>To resolve the missing data and refine our preliminary estimates, we applied our XGBoost mac</w:t>
      </w:r>
      <w:r w:rsidRPr="00792ABA">
        <w:rPr>
          <w:rFonts w:ascii="Times New Roman" w:hAnsi="Times New Roman" w:cs="Times New Roman"/>
          <w:sz w:val="24"/>
          <w:szCs w:val="24"/>
        </w:rPr>
        <w:t xml:space="preserve">hine learning workflow to predict the missing petrophysical properties. This generated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finalised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P50 confidence estimates across all wells:</w:t>
      </w: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BLT-01 Final P50: </w:t>
      </w:r>
      <w:r w:rsidRPr="00792ABA">
        <w:rPr>
          <w:rFonts w:ascii="Times New Roman" w:hAnsi="Times New Roman" w:cs="Times New Roman"/>
          <w:sz w:val="24"/>
          <w:szCs w:val="24"/>
        </w:rPr>
        <w:t xml:space="preserve">Temperature refined to 77.0 °C with a permeability of 752.1 </w:t>
      </w:r>
      <w:proofErr w:type="spellStart"/>
      <w:proofErr w:type="gramStart"/>
      <w:r w:rsidRPr="00792ABA">
        <w:rPr>
          <w:rFonts w:ascii="Times New Roman" w:hAnsi="Times New Roman" w:cs="Times New Roman"/>
          <w:sz w:val="24"/>
          <w:szCs w:val="24"/>
        </w:rPr>
        <w:t>mD</w:t>
      </w:r>
      <w:proofErr w:type="gramEnd"/>
      <w:r w:rsidRPr="00792ABA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PKP-01 Final P50: </w:t>
      </w:r>
      <w:r w:rsidRPr="00792ABA">
        <w:rPr>
          <w:rFonts w:ascii="Times New Roman" w:hAnsi="Times New Roman" w:cs="Times New Roman"/>
          <w:sz w:val="24"/>
          <w:szCs w:val="24"/>
        </w:rPr>
        <w:t>Temperature refi</w:t>
      </w:r>
      <w:r w:rsidRPr="00792ABA">
        <w:rPr>
          <w:rFonts w:ascii="Times New Roman" w:hAnsi="Times New Roman" w:cs="Times New Roman"/>
          <w:sz w:val="24"/>
          <w:szCs w:val="24"/>
        </w:rPr>
        <w:t xml:space="preserve">ned to 88.0 °C with a permeability of 367.95 </w:t>
      </w:r>
      <w:proofErr w:type="spellStart"/>
      <w:proofErr w:type="gramStart"/>
      <w:r w:rsidRPr="00792ABA">
        <w:rPr>
          <w:rFonts w:ascii="Times New Roman" w:hAnsi="Times New Roman" w:cs="Times New Roman"/>
          <w:sz w:val="24"/>
          <w:szCs w:val="24"/>
        </w:rPr>
        <w:t>mD</w:t>
      </w:r>
      <w:proofErr w:type="gramEnd"/>
      <w:r w:rsidRPr="00792ABA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EVD-01 and JUT-01 Final P50: </w:t>
      </w:r>
      <w:r w:rsidRPr="00792ABA">
        <w:rPr>
          <w:rFonts w:ascii="Times New Roman" w:hAnsi="Times New Roman" w:cs="Times New Roman"/>
          <w:sz w:val="24"/>
          <w:szCs w:val="24"/>
        </w:rPr>
        <w:t xml:space="preserve">The AI successfully imputed the missing data, confirming viable temperatures of 72.0 °C for both wells, with EVD-01 showing a permeability of 519.12 </w:t>
      </w:r>
      <w:proofErr w:type="spellStart"/>
      <w:proofErr w:type="gramStart"/>
      <w:r w:rsidRPr="00792ABA">
        <w:rPr>
          <w:rFonts w:ascii="Times New Roman" w:hAnsi="Times New Roman" w:cs="Times New Roman"/>
          <w:sz w:val="24"/>
          <w:szCs w:val="24"/>
        </w:rPr>
        <w:t>mD</w:t>
      </w:r>
      <w:proofErr w:type="gramEnd"/>
      <w:r w:rsidRPr="00792ABA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:rsidR="003056A2" w:rsidRPr="00792ABA" w:rsidRDefault="00AC1172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313309"/>
            <wp:effectExtent l="0" t="0" r="0" b="0"/>
            <wp:docPr id="2" name="Picture 2" descr="C:\Users\Administrator\AppData\Local\Microsoft\Windows\INetCache\Content.MSO\4FED9D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Microsoft\Windows\INetCache\Content.MSO\4FED9DE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172" w:rsidRPr="00792ABA" w:rsidRDefault="00AC117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792ABA">
          <w:rPr>
            <w:rStyle w:val="Hyperlink"/>
            <w:rFonts w:ascii="Times New Roman" w:hAnsi="Times New Roman" w:cs="Times New Roman"/>
            <w:sz w:val="24"/>
            <w:szCs w:val="24"/>
          </w:rPr>
          <w:t>Reservoir data and supporting files</w:t>
        </w:r>
      </w:hyperlink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92ABA">
        <w:rPr>
          <w:rFonts w:ascii="Times New Roman" w:hAnsi="Times New Roman" w:cs="Times New Roman"/>
          <w:color w:val="auto"/>
          <w:sz w:val="24"/>
          <w:szCs w:val="24"/>
        </w:rPr>
        <w:t>5. Integrated Surface System Design (Challenge 2)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>To meet the specific urban district demands, we designed an integrated surface architecture</w:t>
      </w:r>
      <w:r w:rsidRPr="00792ABA">
        <w:rPr>
          <w:rFonts w:ascii="Times New Roman" w:hAnsi="Times New Roman" w:cs="Times New Roman"/>
          <w:sz w:val="24"/>
          <w:szCs w:val="24"/>
        </w:rPr>
        <w:t xml:space="preserve"> featuring heat pumps, chillers and thermal energy storage (TES).</w:t>
      </w: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Heating Balance: </w:t>
      </w:r>
      <w:r w:rsidRPr="00792ABA">
        <w:rPr>
          <w:rFonts w:ascii="Times New Roman" w:hAnsi="Times New Roman" w:cs="Times New Roman"/>
          <w:sz w:val="24"/>
          <w:szCs w:val="24"/>
        </w:rPr>
        <w:t xml:space="preserve">The 10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heating demand is met by a direct geothermal contribution of 7 MW, supplemented by 3 MW of heat pump output which consumes 0.75 MW of electricity.</w:t>
      </w: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>Cooling Balan</w:t>
      </w: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ce: </w:t>
      </w:r>
      <w:r w:rsidRPr="00792ABA">
        <w:rPr>
          <w:rFonts w:ascii="Times New Roman" w:hAnsi="Times New Roman" w:cs="Times New Roman"/>
          <w:sz w:val="24"/>
          <w:szCs w:val="24"/>
        </w:rPr>
        <w:t xml:space="preserve">The 5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cooling demand is met using absorption chillers, which require 7.14 MW of geothermal heat input.</w:t>
      </w: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System Totals: </w:t>
      </w:r>
      <w:r w:rsidRPr="00792ABA">
        <w:rPr>
          <w:rFonts w:ascii="Times New Roman" w:hAnsi="Times New Roman" w:cs="Times New Roman"/>
          <w:sz w:val="24"/>
          <w:szCs w:val="24"/>
        </w:rPr>
        <w:t>The complete system requires 14.14 MW of total geothermal energy and consumes a highly efficient 0.9 MW of total electricity incl</w:t>
      </w:r>
      <w:r w:rsidRPr="00792ABA">
        <w:rPr>
          <w:rFonts w:ascii="Times New Roman" w:hAnsi="Times New Roman" w:cs="Times New Roman"/>
          <w:sz w:val="24"/>
          <w:szCs w:val="24"/>
        </w:rPr>
        <w:t>uding pumps and auxiliaries.</w:t>
      </w:r>
    </w:p>
    <w:p w:rsidR="003056A2" w:rsidRPr="00792ABA" w:rsidRDefault="00792ABA" w:rsidP="00AC117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sz w:val="24"/>
          <w:szCs w:val="24"/>
        </w:rPr>
        <w:t xml:space="preserve">Peak Load Balancing: </w:t>
      </w:r>
      <w:r w:rsidRPr="00792ABA">
        <w:rPr>
          <w:rFonts w:ascii="Times New Roman" w:hAnsi="Times New Roman" w:cs="Times New Roman"/>
          <w:sz w:val="24"/>
          <w:szCs w:val="24"/>
        </w:rPr>
        <w:t>To handle peak mismatches, the system incorporates a Thermal Energy Storage (TES) capacity of 10 MWh.</w:t>
      </w:r>
    </w:p>
    <w:p w:rsidR="003056A2" w:rsidRPr="00792ABA" w:rsidRDefault="00AC1172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962400"/>
            <wp:effectExtent l="0" t="0" r="0" b="0"/>
            <wp:docPr id="3" name="Picture 3" descr="C:\Users\Administrator\AppData\Local\Microsoft\Windows\INetCache\Content.MSO\45CCEE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Local\Microsoft\Windows\INetCache\Content.MSO\45CCEE3B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Figure 2: </w:t>
      </w:r>
      <w:r w:rsidRPr="00792ABA">
        <w:rPr>
          <w:rFonts w:ascii="Times New Roman" w:hAnsi="Times New Roman" w:cs="Times New Roman"/>
          <w:i/>
          <w:iCs/>
          <w:sz w:val="24"/>
          <w:szCs w:val="24"/>
        </w:rPr>
        <w:t>Operational flow diagram.</w:t>
      </w:r>
    </w:p>
    <w:p w:rsidR="003056A2" w:rsidRPr="00792ABA" w:rsidRDefault="00AC1172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03850" cy="4337050"/>
            <wp:effectExtent l="0" t="0" r="6350" b="6350"/>
            <wp:docPr id="4" name="Picture 4" descr="C:\Users\Administrator\AppData\Local\Microsoft\Windows\INetCache\Content.MSO\23E7DF0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Local\Microsoft\Windows\INetCache\Content.MSO\23E7DF01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Figure 3: </w:t>
      </w:r>
      <w:r w:rsidRPr="00792ABA">
        <w:rPr>
          <w:rFonts w:ascii="Times New Roman" w:hAnsi="Times New Roman" w:cs="Times New Roman"/>
          <w:i/>
          <w:iCs/>
          <w:sz w:val="24"/>
          <w:szCs w:val="24"/>
        </w:rPr>
        <w:t>COP sensitivity analysis.</w:t>
      </w: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792ABA">
          <w:rPr>
            <w:rStyle w:val="Hyperlink"/>
            <w:rFonts w:ascii="Times New Roman" w:hAnsi="Times New Roman" w:cs="Times New Roman"/>
            <w:sz w:val="24"/>
            <w:szCs w:val="24"/>
          </w:rPr>
          <w:t>Surface system notebook (G</w:t>
        </w:r>
        <w:r w:rsidRPr="00792ABA">
          <w:rPr>
            <w:rStyle w:val="Hyperlink"/>
            <w:rFonts w:ascii="Times New Roman" w:hAnsi="Times New Roman" w:cs="Times New Roman"/>
            <w:sz w:val="24"/>
            <w:szCs w:val="24"/>
          </w:rPr>
          <w:t>o</w:t>
        </w:r>
        <w:r w:rsidRPr="00792ABA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ogle </w:t>
        </w:r>
        <w:proofErr w:type="spellStart"/>
        <w:r w:rsidRPr="00792ABA">
          <w:rPr>
            <w:rStyle w:val="Hyperlink"/>
            <w:rFonts w:ascii="Times New Roman" w:hAnsi="Times New Roman" w:cs="Times New Roman"/>
            <w:sz w:val="24"/>
            <w:szCs w:val="24"/>
          </w:rPr>
          <w:t>Colab</w:t>
        </w:r>
        <w:proofErr w:type="spellEnd"/>
        <w:r w:rsidRPr="00792ABA">
          <w:rPr>
            <w:rStyle w:val="Hyperlink"/>
            <w:rFonts w:ascii="Times New Roman" w:hAnsi="Times New Roman" w:cs="Times New Roman"/>
            <w:sz w:val="24"/>
            <w:szCs w:val="24"/>
          </w:rPr>
          <w:t>)</w:t>
        </w:r>
      </w:hyperlink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92ABA">
        <w:rPr>
          <w:rFonts w:ascii="Times New Roman" w:hAnsi="Times New Roman" w:cs="Times New Roman"/>
          <w:color w:val="auto"/>
          <w:sz w:val="24"/>
          <w:szCs w:val="24"/>
        </w:rPr>
        <w:t>6. AI-Assisted Workflow (Bonus Challenge)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 xml:space="preserve">To predict missing permeability values for EVD-01 and JUT-01, we trained an XGBoost quantile regression model using well log curves from the data </w:t>
      </w:r>
      <w:r w:rsidRPr="00792ABA">
        <w:rPr>
          <w:rFonts w:ascii="Times New Roman" w:hAnsi="Times New Roman" w:cs="Times New Roman"/>
          <w:sz w:val="24"/>
          <w:szCs w:val="24"/>
        </w:rPr>
        <w:t>rich BLT-01 and PKP-01 wells as training data. The input curves used were gamma ray (GR), bulk density (RHOB),</w:t>
      </w:r>
      <w:r w:rsidRPr="00792ABA">
        <w:rPr>
          <w:rFonts w:ascii="Times New Roman" w:hAnsi="Times New Roman" w:cs="Times New Roman"/>
          <w:sz w:val="24"/>
          <w:szCs w:val="24"/>
        </w:rPr>
        <w:t xml:space="preserve"> neutron porosity (NPHI) and sonic transit time (DT). The model outputs three probabilistic estimates (P10, P50 and P90) to capture subsurface uncertainty. Where input curves were also missing, a secondary XGBoost imputer trained on formation </w:t>
      </w:r>
      <w:r w:rsidRPr="00792ABA">
        <w:rPr>
          <w:rFonts w:ascii="Times New Roman" w:hAnsi="Times New Roman" w:cs="Times New Roman"/>
          <w:sz w:val="24"/>
          <w:szCs w:val="24"/>
        </w:rPr>
        <w:t>depth relatio</w:t>
      </w:r>
      <w:r w:rsidRPr="00792ABA">
        <w:rPr>
          <w:rFonts w:ascii="Times New Roman" w:hAnsi="Times New Roman" w:cs="Times New Roman"/>
          <w:sz w:val="24"/>
          <w:szCs w:val="24"/>
        </w:rPr>
        <w:t>nships was applied first to fill those gaps before permeability prediction.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 xml:space="preserve">The complete AI assessment pipeline, which covers feasibility scoring on a 0 to 100 composite scale, economic integration and structured well reports generated via the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llama-</w:t>
      </w:r>
      <w:r w:rsidRPr="00792ABA">
        <w:rPr>
          <w:rFonts w:ascii="Times New Roman" w:hAnsi="Times New Roman" w:cs="Times New Roman"/>
          <w:sz w:val="24"/>
          <w:szCs w:val="24"/>
        </w:rPr>
        <w:t xml:space="preserve">3.3-70b large language model, is fully reproducible through our eight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notebooks. All source code has been documented and submitted via our team GitHub repository. An interactive scenario dashboard is also available online.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792ABA">
          <w:rPr>
            <w:rStyle w:val="Hyperlink"/>
            <w:rFonts w:ascii="Times New Roman" w:hAnsi="Times New Roman" w:cs="Times New Roman"/>
            <w:sz w:val="24"/>
            <w:szCs w:val="24"/>
          </w:rPr>
          <w:t>GitHub Repository</w:t>
        </w:r>
      </w:hyperlink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792ABA">
          <w:rPr>
            <w:rStyle w:val="Hyperlink"/>
            <w:rFonts w:ascii="Times New Roman" w:hAnsi="Times New Roman" w:cs="Times New Roman"/>
            <w:sz w:val="24"/>
            <w:szCs w:val="24"/>
          </w:rPr>
          <w:t>Interactive Scenario Dashboard</w:t>
        </w:r>
      </w:hyperlink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C1172" w:rsidRPr="00792ABA" w:rsidRDefault="00AC1172" w:rsidP="00AC1172">
      <w:pPr>
        <w:pStyle w:val="Heading1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C1172" w:rsidRPr="00792ABA" w:rsidRDefault="00AC1172" w:rsidP="00AC1172">
      <w:pPr>
        <w:pStyle w:val="Heading1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92ABA">
        <w:rPr>
          <w:rFonts w:ascii="Times New Roman" w:hAnsi="Times New Roman" w:cs="Times New Roman"/>
          <w:color w:val="auto"/>
          <w:sz w:val="24"/>
          <w:szCs w:val="24"/>
        </w:rPr>
        <w:lastRenderedPageBreak/>
        <w:t>7. Economic Evaluation (</w:t>
      </w:r>
      <w:proofErr w:type="spellStart"/>
      <w:r w:rsidRPr="00792ABA">
        <w:rPr>
          <w:rFonts w:ascii="Times New Roman" w:hAnsi="Times New Roman" w:cs="Times New Roman"/>
          <w:color w:val="auto"/>
          <w:sz w:val="24"/>
          <w:szCs w:val="24"/>
        </w:rPr>
        <w:t>LCoE</w:t>
      </w:r>
      <w:proofErr w:type="spellEnd"/>
      <w:r w:rsidRPr="00792ABA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 xml:space="preserve">Our economic evaluation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utilises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the official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datathon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Leveli</w:t>
      </w:r>
      <w:r w:rsidRPr="00792ABA">
        <w:rPr>
          <w:rFonts w:ascii="Times New Roman" w:hAnsi="Times New Roman" w:cs="Times New Roman"/>
          <w:sz w:val="24"/>
          <w:szCs w:val="24"/>
        </w:rPr>
        <w:t>zed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Cost of Energy (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LCoE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) formula to assess financial viability over the 30-year thermal lifecycle. By balancing 14.14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of total geothermal extraction with a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minimised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electrical load of just 0.9 MW, the system achieves a highly competitive base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LCoE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o</w:t>
      </w:r>
      <w:r w:rsidRPr="00792ABA">
        <w:rPr>
          <w:rFonts w:ascii="Times New Roman" w:hAnsi="Times New Roman" w:cs="Times New Roman"/>
          <w:sz w:val="24"/>
          <w:szCs w:val="24"/>
        </w:rPr>
        <w:t>f €28.53/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MWhth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(€7.92/GJ). Initial CAPEX totals €11.72 million, comprising €9.0 million for two wells incorporating the 1.5× scaling factor, €600,000 for circulation pumps and €2.12 million for surface facilities. Annual OPEX is €1,398,920, which includes </w:t>
      </w:r>
      <w:r w:rsidRPr="00792ABA">
        <w:rPr>
          <w:rFonts w:ascii="Times New Roman" w:hAnsi="Times New Roman" w:cs="Times New Roman"/>
          <w:sz w:val="24"/>
          <w:szCs w:val="24"/>
        </w:rPr>
        <w:t>€588,920 for fixed and variable O&amp;M and €810,000 for electricity consumption based on 6,000 heat load hours at €150/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MWhe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>. The financial model assumes a 7.8% discount rate (WACC) and a heat pump COP of 4.0.</w:t>
      </w:r>
    </w:p>
    <w:p w:rsidR="003056A2" w:rsidRPr="00792ABA" w:rsidRDefault="00AC1172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948479"/>
            <wp:effectExtent l="0" t="0" r="0" b="4445"/>
            <wp:docPr id="5" name="Picture 5" descr="C:\Users\Administrator\AppData\Local\Microsoft\Windows\INetCache\Content.MSO\E787F9B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Local\Microsoft\Windows\INetCache\Content.MSO\E787F9B7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Figure 4: </w:t>
      </w:r>
      <w:proofErr w:type="spellStart"/>
      <w:r w:rsidRPr="00792ABA">
        <w:rPr>
          <w:rFonts w:ascii="Times New Roman" w:hAnsi="Times New Roman" w:cs="Times New Roman"/>
          <w:i/>
          <w:iCs/>
          <w:sz w:val="24"/>
          <w:szCs w:val="24"/>
        </w:rPr>
        <w:t>LCoE</w:t>
      </w:r>
      <w:proofErr w:type="spellEnd"/>
      <w:r w:rsidRPr="00792ABA">
        <w:rPr>
          <w:rFonts w:ascii="Times New Roman" w:hAnsi="Times New Roman" w:cs="Times New Roman"/>
          <w:i/>
          <w:iCs/>
          <w:sz w:val="24"/>
          <w:szCs w:val="24"/>
        </w:rPr>
        <w:t xml:space="preserve"> Sensitivity Analysis (Tornado Char</w:t>
      </w:r>
      <w:r w:rsidRPr="00792ABA">
        <w:rPr>
          <w:rFonts w:ascii="Times New Roman" w:hAnsi="Times New Roman" w:cs="Times New Roman"/>
          <w:i/>
          <w:iCs/>
          <w:sz w:val="24"/>
          <w:szCs w:val="24"/>
        </w:rPr>
        <w:t>t).</w:t>
      </w: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 xml:space="preserve">As shown in the figure above, the well cost scaling factor (ranging from 1.0 to 2.0) is the most sensitive variable, causing the largest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LCoE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swing between €25.09 and €31.96/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MWhth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. Conversely, fluctuations in the electricity price tested from €120 to </w:t>
      </w:r>
      <w:r w:rsidRPr="00792ABA">
        <w:rPr>
          <w:rFonts w:ascii="Times New Roman" w:hAnsi="Times New Roman" w:cs="Times New Roman"/>
          <w:sz w:val="24"/>
          <w:szCs w:val="24"/>
        </w:rPr>
        <w:t>€180/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MWhe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have the lowest overall impact. This insensitivity validates a key design achievement: by maximizing</w:t>
      </w:r>
      <w:r w:rsidRPr="00792ABA">
        <w:rPr>
          <w:rFonts w:ascii="Times New Roman" w:hAnsi="Times New Roman" w:cs="Times New Roman"/>
          <w:sz w:val="24"/>
          <w:szCs w:val="24"/>
        </w:rPr>
        <w:t xml:space="preserve"> direct raw heat utilization</w:t>
      </w:r>
      <w:r w:rsidRPr="00792ABA">
        <w:rPr>
          <w:rFonts w:ascii="Times New Roman" w:hAnsi="Times New Roman" w:cs="Times New Roman"/>
          <w:sz w:val="24"/>
          <w:szCs w:val="24"/>
        </w:rPr>
        <w:t xml:space="preserve"> and bottlenecking grid reliance to just 0.9 MW, the project is effectively insulated against volatile European energy</w:t>
      </w:r>
      <w:r w:rsidRPr="00792ABA">
        <w:rPr>
          <w:rFonts w:ascii="Times New Roman" w:hAnsi="Times New Roman" w:cs="Times New Roman"/>
          <w:sz w:val="24"/>
          <w:szCs w:val="24"/>
        </w:rPr>
        <w:t xml:space="preserve"> markets. The system thus proves economically resilient across a wide range of technical and market uncertainties.</w:t>
      </w:r>
    </w:p>
    <w:p w:rsidR="00AC1172" w:rsidRPr="00792ABA" w:rsidRDefault="00AC117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792ABA" w:rsidP="00AC1172">
      <w:pPr>
        <w:pStyle w:val="Heading1"/>
        <w:spacing w:before="0"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92ABA">
        <w:rPr>
          <w:rFonts w:ascii="Times New Roman" w:hAnsi="Times New Roman" w:cs="Times New Roman"/>
          <w:color w:val="auto"/>
          <w:sz w:val="24"/>
          <w:szCs w:val="24"/>
        </w:rPr>
        <w:t>8. Conclusion and Recommendations</w:t>
      </w:r>
    </w:p>
    <w:p w:rsidR="003056A2" w:rsidRPr="00792ABA" w:rsidRDefault="00792ABA" w:rsidP="00AC1172">
      <w:pPr>
        <w:jc w:val="both"/>
        <w:rPr>
          <w:rFonts w:ascii="Times New Roman" w:hAnsi="Times New Roman" w:cs="Times New Roman"/>
          <w:sz w:val="24"/>
          <w:szCs w:val="24"/>
        </w:rPr>
      </w:pPr>
      <w:r w:rsidRPr="00792ABA">
        <w:rPr>
          <w:rFonts w:ascii="Times New Roman" w:hAnsi="Times New Roman" w:cs="Times New Roman"/>
          <w:sz w:val="24"/>
          <w:szCs w:val="24"/>
        </w:rPr>
        <w:t>The Thermal Edge Geo AI workflow confirms that the Rotliegend sandstone reservoir has the capacity to rel</w:t>
      </w:r>
      <w:r w:rsidRPr="00792ABA">
        <w:rPr>
          <w:rFonts w:ascii="Times New Roman" w:hAnsi="Times New Roman" w:cs="Times New Roman"/>
          <w:sz w:val="24"/>
          <w:szCs w:val="24"/>
        </w:rPr>
        <w:t xml:space="preserve">iably sustain the Utrecht district. By pairing 14.14 MW of geothermal extraction with a 10 MWh thermal storage unit and highly efficient heat pumps, our system meets the 10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heating and 5 </w:t>
      </w:r>
      <w:proofErr w:type="spellStart"/>
      <w:r w:rsidRPr="00792ABA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92ABA">
        <w:rPr>
          <w:rFonts w:ascii="Times New Roman" w:hAnsi="Times New Roman" w:cs="Times New Roman"/>
          <w:sz w:val="24"/>
          <w:szCs w:val="24"/>
        </w:rPr>
        <w:t xml:space="preserve"> cooling targets while minimizing</w:t>
      </w:r>
      <w:r w:rsidRPr="00792ABA">
        <w:rPr>
          <w:rFonts w:ascii="Times New Roman" w:hAnsi="Times New Roman" w:cs="Times New Roman"/>
          <w:sz w:val="24"/>
          <w:szCs w:val="24"/>
        </w:rPr>
        <w:t xml:space="preserve"> electrical load. This AI-a</w:t>
      </w:r>
      <w:r w:rsidRPr="00792ABA">
        <w:rPr>
          <w:rFonts w:ascii="Times New Roman" w:hAnsi="Times New Roman" w:cs="Times New Roman"/>
          <w:sz w:val="24"/>
          <w:szCs w:val="24"/>
        </w:rPr>
        <w:t>ssisted wor</w:t>
      </w:r>
      <w:r>
        <w:rPr>
          <w:rFonts w:ascii="Times New Roman" w:hAnsi="Times New Roman" w:cs="Times New Roman"/>
          <w:sz w:val="24"/>
          <w:szCs w:val="24"/>
        </w:rPr>
        <w:t xml:space="preserve">kflow provides a scalable, cost </w:t>
      </w:r>
      <w:r w:rsidRPr="00792ABA">
        <w:rPr>
          <w:rFonts w:ascii="Times New Roman" w:hAnsi="Times New Roman" w:cs="Times New Roman"/>
          <w:sz w:val="24"/>
          <w:szCs w:val="24"/>
        </w:rPr>
        <w:t>effective blueprint for the future of African and European sustainable urban heating.</w:t>
      </w: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56A2" w:rsidRPr="00792ABA" w:rsidRDefault="003056A2" w:rsidP="00AC117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056A2" w:rsidRPr="00792A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3A5D4C"/>
    <w:multiLevelType w:val="hybridMultilevel"/>
    <w:tmpl w:val="C7A0E2A2"/>
    <w:lvl w:ilvl="0" w:tplc="DD049FC6">
      <w:start w:val="1"/>
      <w:numFmt w:val="bullet"/>
      <w:lvlText w:val="●"/>
      <w:lvlJc w:val="left"/>
      <w:pPr>
        <w:ind w:left="720" w:hanging="360"/>
      </w:pPr>
    </w:lvl>
    <w:lvl w:ilvl="1" w:tplc="15D885FE">
      <w:start w:val="1"/>
      <w:numFmt w:val="bullet"/>
      <w:lvlText w:val="○"/>
      <w:lvlJc w:val="left"/>
      <w:pPr>
        <w:ind w:left="1440" w:hanging="360"/>
      </w:pPr>
    </w:lvl>
    <w:lvl w:ilvl="2" w:tplc="052E0858">
      <w:start w:val="1"/>
      <w:numFmt w:val="bullet"/>
      <w:lvlText w:val="■"/>
      <w:lvlJc w:val="left"/>
      <w:pPr>
        <w:ind w:left="2160" w:hanging="360"/>
      </w:pPr>
    </w:lvl>
    <w:lvl w:ilvl="3" w:tplc="8FCC154E">
      <w:start w:val="1"/>
      <w:numFmt w:val="bullet"/>
      <w:lvlText w:val="●"/>
      <w:lvlJc w:val="left"/>
      <w:pPr>
        <w:ind w:left="2880" w:hanging="360"/>
      </w:pPr>
    </w:lvl>
    <w:lvl w:ilvl="4" w:tplc="A462D3C6">
      <w:start w:val="1"/>
      <w:numFmt w:val="bullet"/>
      <w:lvlText w:val="○"/>
      <w:lvlJc w:val="left"/>
      <w:pPr>
        <w:ind w:left="3600" w:hanging="360"/>
      </w:pPr>
    </w:lvl>
    <w:lvl w:ilvl="5" w:tplc="07885D5C">
      <w:start w:val="1"/>
      <w:numFmt w:val="bullet"/>
      <w:lvlText w:val="■"/>
      <w:lvlJc w:val="left"/>
      <w:pPr>
        <w:ind w:left="4320" w:hanging="360"/>
      </w:pPr>
    </w:lvl>
    <w:lvl w:ilvl="6" w:tplc="F660630A">
      <w:start w:val="1"/>
      <w:numFmt w:val="bullet"/>
      <w:lvlText w:val="●"/>
      <w:lvlJc w:val="left"/>
      <w:pPr>
        <w:ind w:left="5040" w:hanging="360"/>
      </w:pPr>
    </w:lvl>
    <w:lvl w:ilvl="7" w:tplc="E1B2E8FC">
      <w:start w:val="1"/>
      <w:numFmt w:val="bullet"/>
      <w:lvlText w:val="●"/>
      <w:lvlJc w:val="left"/>
      <w:pPr>
        <w:ind w:left="5760" w:hanging="360"/>
      </w:pPr>
    </w:lvl>
    <w:lvl w:ilvl="8" w:tplc="B0620C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941F8"/>
    <w:multiLevelType w:val="hybridMultilevel"/>
    <w:tmpl w:val="27C63276"/>
    <w:lvl w:ilvl="0" w:tplc="27A2C012">
      <w:start w:val="1"/>
      <w:numFmt w:val="bullet"/>
      <w:lvlText w:val="•"/>
      <w:lvlJc w:val="left"/>
      <w:pPr>
        <w:ind w:left="720" w:hanging="360"/>
      </w:pPr>
    </w:lvl>
    <w:lvl w:ilvl="1" w:tplc="06DA3D04">
      <w:numFmt w:val="decimal"/>
      <w:lvlText w:val=""/>
      <w:lvlJc w:val="left"/>
    </w:lvl>
    <w:lvl w:ilvl="2" w:tplc="2CDC6FF4">
      <w:numFmt w:val="decimal"/>
      <w:lvlText w:val=""/>
      <w:lvlJc w:val="left"/>
    </w:lvl>
    <w:lvl w:ilvl="3" w:tplc="7020012A">
      <w:numFmt w:val="decimal"/>
      <w:lvlText w:val=""/>
      <w:lvlJc w:val="left"/>
    </w:lvl>
    <w:lvl w:ilvl="4" w:tplc="212619D6">
      <w:numFmt w:val="decimal"/>
      <w:lvlText w:val=""/>
      <w:lvlJc w:val="left"/>
    </w:lvl>
    <w:lvl w:ilvl="5" w:tplc="AA9002A4">
      <w:numFmt w:val="decimal"/>
      <w:lvlText w:val=""/>
      <w:lvlJc w:val="left"/>
    </w:lvl>
    <w:lvl w:ilvl="6" w:tplc="CBBC99A4">
      <w:numFmt w:val="decimal"/>
      <w:lvlText w:val=""/>
      <w:lvlJc w:val="left"/>
    </w:lvl>
    <w:lvl w:ilvl="7" w:tplc="A5E0194C">
      <w:numFmt w:val="decimal"/>
      <w:lvlText w:val=""/>
      <w:lvlJc w:val="left"/>
    </w:lvl>
    <w:lvl w:ilvl="8" w:tplc="F6C6CE7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6A2"/>
    <w:rsid w:val="003056A2"/>
    <w:rsid w:val="00792ABA"/>
    <w:rsid w:val="00AC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D4B47"/>
  <w15:docId w15:val="{BA89426F-1CFC-4FFD-8F85-60FE78DD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92A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G-v4oV7zzuFtet0pYElKdDYHETLODgno?usp=sharing" TargetMode="External"/><Relationship Id="rId13" Type="http://schemas.openxmlformats.org/officeDocument/2006/relationships/hyperlink" Target="https://nimahmasuud.github.io/agd2026-geothermal-ai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NimahMasuud/agd2026-geothermal-ai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lab.research.google.com/drive/1xQzuKSTrHRU-aW8S_6V2Z-JnX9AbP1g6?usp=shari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97964-D99E-4D32-9306-F44CCD0B1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1494</Words>
  <Characters>8520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2026-06-07T21:04:00Z</dcterms:created>
  <dcterms:modified xsi:type="dcterms:W3CDTF">2026-06-07T21:43:00Z</dcterms:modified>
</cp:coreProperties>
</file>