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Nombre: Nicolás Maturana — Autoevaluación Definición Proyecto APT</w:t>
      </w:r>
      <w:r w:rsidDel="00000000" w:rsidR="00000000" w:rsidRPr="00000000">
        <w:rPr>
          <w:rtl w:val="0"/>
        </w:rPr>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dcfce7"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p w:rsidR="00000000" w:rsidDel="00000000" w:rsidP="00000000" w:rsidRDefault="00000000" w:rsidRPr="00000000" w14:paraId="000000C9">
            <w:pPr>
              <w:jc w:val="left"/>
              <w:rPr/>
            </w:pPr>
            <w:r w:rsidDel="00000000" w:rsidR="00000000" w:rsidRPr="00000000">
              <w:rPr>
                <w:rtl w:val="0"/>
              </w:rPr>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C">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dcfce7" w:val="clea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p w:rsidR="00000000" w:rsidDel="00000000" w:rsidP="00000000" w:rsidRDefault="00000000" w:rsidRPr="00000000" w14:paraId="000000D0">
            <w:pPr>
              <w:jc w:val="left"/>
              <w:rPr/>
            </w:pPr>
            <w:r w:rsidDel="00000000" w:rsidR="00000000" w:rsidRPr="00000000">
              <w:rPr>
                <w:rtl w:val="0"/>
              </w:rPr>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2">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7">
            <w:pPr>
              <w:rPr>
                <w:rFonts w:ascii="Calibri" w:cs="Calibri" w:eastAsia="Calibri" w:hAnsi="Calibri"/>
                <w:color w:val="000000"/>
              </w:rPr>
            </w:pPr>
            <w:r w:rsidDel="00000000" w:rsidR="00000000" w:rsidRPr="00000000">
              <w:rPr>
                <w:rtl w:val="0"/>
              </w:rPr>
            </w:r>
          </w:p>
        </w:tc>
        <w:tc>
          <w:tcPr>
            <w:shd w:fill="dcfce7" w:val="clea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p w:rsidR="00000000" w:rsidDel="00000000" w:rsidP="00000000" w:rsidRDefault="00000000" w:rsidRPr="00000000" w14:paraId="000000D9">
            <w:pPr>
              <w:jc w:val="left"/>
              <w:rPr/>
            </w:pPr>
            <w:r w:rsidDel="00000000" w:rsidR="00000000" w:rsidRPr="00000000">
              <w:rPr>
                <w:rtl w:val="0"/>
              </w:rPr>
            </w:r>
          </w:p>
        </w:tc>
        <w:tc>
          <w:tcP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dcfce7" w:val="clea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p w:rsidR="00000000" w:rsidDel="00000000" w:rsidP="00000000" w:rsidRDefault="00000000" w:rsidRPr="00000000" w14:paraId="000000E0">
            <w:pPr>
              <w:jc w:val="left"/>
              <w:rPr/>
            </w:pPr>
            <w:r w:rsidDel="00000000" w:rsidR="00000000" w:rsidRPr="00000000">
              <w:rPr>
                <w:rtl w:val="0"/>
              </w:rPr>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dcfce7" w:val="clear"/>
            <w:vAlign w:val="center"/>
          </w:tcPr>
          <w:p w:rsidR="00000000" w:rsidDel="00000000" w:rsidP="00000000" w:rsidRDefault="00000000" w:rsidRPr="00000000" w14:paraId="000000E6">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p w:rsidR="00000000" w:rsidDel="00000000" w:rsidP="00000000" w:rsidRDefault="00000000" w:rsidRPr="00000000" w14:paraId="000000E7">
            <w:pPr>
              <w:jc w:val="left"/>
              <w:rPr/>
            </w:pPr>
            <w:r w:rsidDel="00000000" w:rsidR="00000000" w:rsidRPr="00000000">
              <w:rPr>
                <w:rtl w:val="0"/>
              </w:rPr>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dcfce7" w:val="clear"/>
            <w:vAlign w:val="center"/>
          </w:tcPr>
          <w:p w:rsidR="00000000" w:rsidDel="00000000" w:rsidP="00000000" w:rsidRDefault="00000000" w:rsidRPr="00000000" w14:paraId="000000ED">
            <w:pPr>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r w:rsidDel="00000000" w:rsidR="00000000" w:rsidRPr="00000000">
              <w:rPr>
                <w:rtl w:val="0"/>
              </w:rPr>
            </w:r>
          </w:p>
        </w:tc>
        <w:tc>
          <w:tcPr>
            <w:vAlign w:val="center"/>
          </w:tcPr>
          <w:p w:rsidR="00000000" w:rsidDel="00000000" w:rsidP="00000000" w:rsidRDefault="00000000" w:rsidRPr="00000000" w14:paraId="000000E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F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3">
            <w:pPr>
              <w:rPr>
                <w:rFonts w:ascii="Calibri" w:cs="Calibri" w:eastAsia="Calibri" w:hAnsi="Calibri"/>
                <w:color w:val="000000"/>
              </w:rPr>
            </w:pPr>
            <w:r w:rsidDel="00000000" w:rsidR="00000000" w:rsidRPr="00000000">
              <w:rPr>
                <w:rtl w:val="0"/>
              </w:rPr>
            </w:r>
          </w:p>
        </w:tc>
        <w:tc>
          <w:tcPr>
            <w:shd w:fill="dcfce7" w:val="clear"/>
            <w:vAlign w:val="center"/>
          </w:tcPr>
          <w:p w:rsidR="00000000" w:rsidDel="00000000" w:rsidP="00000000" w:rsidRDefault="00000000" w:rsidRPr="00000000" w14:paraId="000000F4">
            <w:pPr>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r w:rsidDel="00000000" w:rsidR="00000000" w:rsidRPr="00000000">
              <w:rPr>
                <w:rtl w:val="0"/>
              </w:rPr>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9">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dcfce7" w:val="clea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p w:rsidR="00000000" w:rsidDel="00000000" w:rsidP="00000000" w:rsidRDefault="00000000" w:rsidRPr="00000000" w14:paraId="000000FB">
            <w:pPr>
              <w:jc w:val="center"/>
              <w:rPr/>
            </w:pPr>
            <w:r w:rsidDel="00000000" w:rsidR="00000000" w:rsidRPr="00000000">
              <w:rPr>
                <w:rtl w:val="0"/>
              </w:rPr>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fill="dbeafe" w:val="clea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p w:rsidR="00000000" w:rsidDel="00000000" w:rsidP="00000000" w:rsidRDefault="00000000" w:rsidRPr="00000000" w14:paraId="00000103">
            <w:pPr>
              <w:jc w:val="left"/>
              <w:rPr/>
            </w:pPr>
            <w:r w:rsidDel="00000000" w:rsidR="00000000" w:rsidRPr="00000000">
              <w:rPr>
                <w:rtl w:val="0"/>
              </w:rPr>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10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shd w:fill="dbeafe" w:val="clea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p w:rsidR="00000000" w:rsidDel="00000000" w:rsidP="00000000" w:rsidRDefault="00000000" w:rsidRPr="00000000" w14:paraId="0000010A">
            <w:pPr>
              <w:jc w:val="left"/>
              <w:rPr/>
            </w:pPr>
            <w:r w:rsidDel="00000000" w:rsidR="00000000" w:rsidRPr="00000000">
              <w:rPr>
                <w:rtl w:val="0"/>
              </w:rPr>
            </w:r>
          </w:p>
        </w:tc>
        <w:tc>
          <w:tcPr>
            <w:vAlign w:val="center"/>
          </w:tcPr>
          <w:p w:rsidR="00000000" w:rsidDel="00000000" w:rsidP="00000000" w:rsidRDefault="00000000" w:rsidRPr="00000000" w14:paraId="0000010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E">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shd w:fill="dbeafe" w:val="clea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p w:rsidR="00000000" w:rsidDel="00000000" w:rsidP="00000000" w:rsidRDefault="00000000" w:rsidRPr="00000000" w14:paraId="00000111">
            <w:pPr>
              <w:jc w:val="left"/>
              <w:rPr/>
            </w:pP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1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1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15">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1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7">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18">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9">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shd w:fill="fee2e2" w:val="clear"/>
            <w:vAlign w:val="center"/>
          </w:tcPr>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D">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p w:rsidR="00000000" w:rsidDel="00000000" w:rsidP="00000000" w:rsidRDefault="00000000" w:rsidRPr="00000000" w14:paraId="0000011E">
            <w:pPr>
              <w:jc w:val="left"/>
              <w:rPr/>
            </w:pPr>
            <w:r w:rsidDel="00000000" w:rsidR="00000000" w:rsidRPr="00000000">
              <w:rPr>
                <w:rtl w:val="0"/>
              </w:rPr>
            </w:r>
          </w:p>
        </w:tc>
        <w:tc>
          <w:tcPr>
            <w:vAlign w:val="center"/>
          </w:tcPr>
          <w:p w:rsidR="00000000" w:rsidDel="00000000" w:rsidP="00000000" w:rsidRDefault="00000000" w:rsidRPr="00000000" w14:paraId="0000011F">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20">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25">
            <w:pPr>
              <w:jc w:val="center"/>
              <w:rPr/>
            </w:pPr>
            <w:r w:rsidDel="00000000" w:rsidR="00000000" w:rsidRPr="00000000">
              <w:rPr>
                <w:rFonts w:ascii="Calibri" w:cs="Calibri" w:eastAsia="Calibri" w:hAnsi="Calibri"/>
                <w:b w:val="1"/>
                <w:bCs w:val="1"/>
                <w:color w:val="3b3838"/>
                <w:rtl w:val="0"/>
              </w:rPr>
              <w:t xml:space="preserve">100%</w:t>
            </w:r>
            <w:r w:rsidDel="00000000" w:rsidR="00000000" w:rsidRPr="00000000">
              <w:rPr>
                <w:rtl w:val="0"/>
              </w:rPr>
            </w:r>
          </w:p>
        </w:tc>
      </w:tr>
    </w:tbl>
    <w:p w:rsidR="00000000" w:rsidDel="00000000" w:rsidP="00000000" w:rsidRDefault="00000000" w:rsidRPr="00000000" w14:paraId="00000126">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127">
      <w:pPr>
        <w:rPr/>
      </w:pPr>
      <w:r w:rsidDel="00000000" w:rsidR="00000000" w:rsidRPr="00000000">
        <w:br w:type="page"/>
      </w:r>
      <w:r w:rsidDel="00000000" w:rsidR="00000000" w:rsidRPr="00000000">
        <w:rPr>
          <w:rtl w:val="0"/>
        </w:rPr>
      </w:r>
    </w:p>
    <w:p w:rsidR="00000000" w:rsidDel="00000000" w:rsidP="00000000" w:rsidRDefault="00000000" w:rsidRPr="00000000" w14:paraId="00000128">
      <w:pPr>
        <w:spacing w:after="120" w:before="200" w:lineRule="auto"/>
        <w:ind w:left="2160" w:firstLine="0"/>
        <w:jc w:val="left"/>
        <w:rPr>
          <w:rFonts w:ascii="Calibri" w:cs="Calibri" w:eastAsia="Calibri" w:hAnsi="Calibri"/>
          <w:b w:val="1"/>
          <w:bCs w:val="1"/>
          <w:color w:val="102a43"/>
          <w:sz w:val="40"/>
          <w:szCs w:val="40"/>
        </w:rPr>
      </w:pPr>
      <w:r w:rsidDel="00000000" w:rsidR="00000000" w:rsidRPr="00000000">
        <w:rPr>
          <w:rFonts w:ascii="Calibri" w:cs="Calibri" w:eastAsia="Calibri" w:hAnsi="Calibri"/>
          <w:b w:val="1"/>
          <w:bCs w:val="1"/>
          <w:color w:val="102a43"/>
          <w:sz w:val="40"/>
          <w:szCs w:val="40"/>
          <w:rtl w:val="0"/>
        </w:rPr>
        <w:t xml:space="preserve">Informe de Definición del Proyecto APT</w:t>
      </w:r>
    </w:p>
    <w:p w:rsidR="00000000" w:rsidDel="00000000" w:rsidP="00000000" w:rsidRDefault="00000000" w:rsidRPr="00000000" w14:paraId="00000129">
      <w:pPr>
        <w:spacing w:after="120" w:before="200" w:lineRule="auto"/>
        <w:jc w:val="center"/>
        <w:rPr>
          <w:rFonts w:ascii="Calibri" w:cs="Calibri" w:eastAsia="Calibri" w:hAnsi="Calibri"/>
          <w:b w:val="1"/>
          <w:bCs w:val="1"/>
          <w:color w:val="102a43"/>
          <w:sz w:val="40"/>
          <w:szCs w:val="40"/>
        </w:rPr>
      </w:pPr>
      <w:r w:rsidDel="00000000" w:rsidR="00000000" w:rsidRPr="00000000">
        <w:rPr>
          <w:rtl w:val="0"/>
        </w:rPr>
      </w:r>
    </w:p>
    <w:tbl>
      <w:tblPr>
        <w:tblStyle w:val="Table8"/>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102a43" w:val="clear"/>
            <w:vAlign w:val="center"/>
          </w:tcPr>
          <w:p w:rsidR="00000000" w:rsidDel="00000000" w:rsidP="00000000" w:rsidRDefault="00000000" w:rsidRPr="00000000" w14:paraId="0000012A">
            <w:pPr>
              <w:rPr>
                <w:rFonts w:ascii="Cambria" w:cs="Cambria" w:eastAsia="Cambria" w:hAnsi="Cambria"/>
                <w:sz w:val="22"/>
                <w:szCs w:val="22"/>
              </w:rPr>
            </w:pPr>
            <w:r w:rsidDel="00000000" w:rsidR="00000000" w:rsidRPr="00000000">
              <w:rPr>
                <w:rFonts w:ascii="Calibri" w:cs="Calibri" w:eastAsia="Calibri" w:hAnsi="Calibri"/>
                <w:b w:val="1"/>
                <w:bCs w:val="1"/>
                <w:color w:val="ffffff"/>
                <w:sz w:val="18"/>
                <w:szCs w:val="18"/>
                <w:rtl w:val="0"/>
              </w:rPr>
              <w:t xml:space="preserve">Estudiante</w:t>
            </w:r>
            <w:r w:rsidDel="00000000" w:rsidR="00000000" w:rsidRPr="00000000">
              <w:rPr>
                <w:rtl w:val="0"/>
              </w:rPr>
            </w:r>
          </w:p>
        </w:tc>
        <w:tc>
          <w:tcPr>
            <w:shd w:fill="f1f5f9" w:val="clear"/>
            <w:vAlign w:val="center"/>
          </w:tcPr>
          <w:p w:rsidR="00000000" w:rsidDel="00000000" w:rsidP="00000000" w:rsidRDefault="00000000" w:rsidRPr="00000000" w14:paraId="0000012B">
            <w:pPr>
              <w:rPr>
                <w:rFonts w:ascii="Cambria" w:cs="Cambria" w:eastAsia="Cambria" w:hAnsi="Cambria"/>
                <w:sz w:val="22"/>
                <w:szCs w:val="22"/>
              </w:rPr>
            </w:pPr>
            <w:r w:rsidDel="00000000" w:rsidR="00000000" w:rsidRPr="00000000">
              <w:rPr>
                <w:rFonts w:ascii="Calibri" w:cs="Calibri" w:eastAsia="Calibri" w:hAnsi="Calibri"/>
                <w:color w:val="102a43"/>
                <w:sz w:val="18"/>
                <w:szCs w:val="18"/>
                <w:rtl w:val="0"/>
              </w:rPr>
              <w:t xml:space="preserve">Nicolás Maturana</w:t>
            </w:r>
            <w:r w:rsidDel="00000000" w:rsidR="00000000" w:rsidRPr="00000000">
              <w:rPr>
                <w:rtl w:val="0"/>
              </w:rPr>
            </w:r>
          </w:p>
        </w:tc>
      </w:tr>
      <w:tr>
        <w:trPr>
          <w:cantSplit w:val="0"/>
          <w:tblHeader w:val="0"/>
        </w:trPr>
        <w:tc>
          <w:tcPr>
            <w:shd w:fill="102a43" w:val="clear"/>
            <w:vAlign w:val="center"/>
          </w:tcPr>
          <w:p w:rsidR="00000000" w:rsidDel="00000000" w:rsidP="00000000" w:rsidRDefault="00000000" w:rsidRPr="00000000" w14:paraId="0000012C">
            <w:pPr>
              <w:rPr>
                <w:rFonts w:ascii="Cambria" w:cs="Cambria" w:eastAsia="Cambria" w:hAnsi="Cambria"/>
                <w:sz w:val="22"/>
                <w:szCs w:val="22"/>
              </w:rPr>
            </w:pPr>
            <w:r w:rsidDel="00000000" w:rsidR="00000000" w:rsidRPr="00000000">
              <w:rPr>
                <w:rFonts w:ascii="Calibri" w:cs="Calibri" w:eastAsia="Calibri" w:hAnsi="Calibri"/>
                <w:b w:val="1"/>
                <w:bCs w:val="1"/>
                <w:color w:val="ffffff"/>
                <w:sz w:val="18"/>
                <w:szCs w:val="18"/>
                <w:rtl w:val="0"/>
              </w:rPr>
              <w:t xml:space="preserve">Carrera</w:t>
            </w:r>
            <w:r w:rsidDel="00000000" w:rsidR="00000000" w:rsidRPr="00000000">
              <w:rPr>
                <w:rtl w:val="0"/>
              </w:rPr>
            </w:r>
          </w:p>
        </w:tc>
        <w:tc>
          <w:tcPr>
            <w:shd w:fill="f1f5f9" w:val="clear"/>
            <w:vAlign w:val="center"/>
          </w:tcPr>
          <w:p w:rsidR="00000000" w:rsidDel="00000000" w:rsidP="00000000" w:rsidRDefault="00000000" w:rsidRPr="00000000" w14:paraId="0000012D">
            <w:pPr>
              <w:rPr>
                <w:rFonts w:ascii="Cambria" w:cs="Cambria" w:eastAsia="Cambria" w:hAnsi="Cambria"/>
                <w:sz w:val="22"/>
                <w:szCs w:val="22"/>
              </w:rPr>
            </w:pPr>
            <w:r w:rsidDel="00000000" w:rsidR="00000000" w:rsidRPr="00000000">
              <w:rPr>
                <w:rFonts w:ascii="Calibri" w:cs="Calibri" w:eastAsia="Calibri" w:hAnsi="Calibri"/>
                <w:color w:val="102a43"/>
                <w:sz w:val="18"/>
                <w:szCs w:val="18"/>
                <w:rtl w:val="0"/>
              </w:rPr>
              <w:t xml:space="preserve">Ingeniería Informática</w:t>
            </w:r>
            <w:r w:rsidDel="00000000" w:rsidR="00000000" w:rsidRPr="00000000">
              <w:rPr>
                <w:rtl w:val="0"/>
              </w:rPr>
            </w:r>
          </w:p>
        </w:tc>
      </w:tr>
      <w:tr>
        <w:trPr>
          <w:cantSplit w:val="0"/>
          <w:tblHeader w:val="0"/>
        </w:trPr>
        <w:tc>
          <w:tcPr>
            <w:shd w:fill="102a43" w:val="clear"/>
            <w:vAlign w:val="center"/>
          </w:tcPr>
          <w:p w:rsidR="00000000" w:rsidDel="00000000" w:rsidP="00000000" w:rsidRDefault="00000000" w:rsidRPr="00000000" w14:paraId="0000012E">
            <w:pPr>
              <w:rPr>
                <w:rFonts w:ascii="Cambria" w:cs="Cambria" w:eastAsia="Cambria" w:hAnsi="Cambria"/>
                <w:sz w:val="22"/>
                <w:szCs w:val="22"/>
              </w:rPr>
            </w:pPr>
            <w:r w:rsidDel="00000000" w:rsidR="00000000" w:rsidRPr="00000000">
              <w:rPr>
                <w:rFonts w:ascii="Calibri" w:cs="Calibri" w:eastAsia="Calibri" w:hAnsi="Calibri"/>
                <w:b w:val="1"/>
                <w:bCs w:val="1"/>
                <w:color w:val="ffffff"/>
                <w:sz w:val="18"/>
                <w:szCs w:val="18"/>
                <w:rtl w:val="0"/>
              </w:rPr>
              <w:t xml:space="preserve">Proyecto APT</w:t>
            </w:r>
            <w:r w:rsidDel="00000000" w:rsidR="00000000" w:rsidRPr="00000000">
              <w:rPr>
                <w:rtl w:val="0"/>
              </w:rPr>
            </w:r>
          </w:p>
        </w:tc>
        <w:tc>
          <w:tcPr>
            <w:shd w:fill="f1f5f9" w:val="clear"/>
            <w:vAlign w:val="center"/>
          </w:tcPr>
          <w:p w:rsidR="00000000" w:rsidDel="00000000" w:rsidP="00000000" w:rsidRDefault="00000000" w:rsidRPr="00000000" w14:paraId="0000012F">
            <w:pPr>
              <w:rPr>
                <w:rFonts w:ascii="Cambria" w:cs="Cambria" w:eastAsia="Cambria" w:hAnsi="Cambria"/>
                <w:sz w:val="22"/>
                <w:szCs w:val="22"/>
              </w:rPr>
            </w:pPr>
            <w:r w:rsidDel="00000000" w:rsidR="00000000" w:rsidRPr="00000000">
              <w:rPr>
                <w:rFonts w:ascii="Calibri" w:cs="Calibri" w:eastAsia="Calibri" w:hAnsi="Calibri"/>
                <w:color w:val="102a43"/>
                <w:sz w:val="18"/>
                <w:szCs w:val="18"/>
                <w:rtl w:val="0"/>
              </w:rPr>
              <w:t xml:space="preserve">VulnHunter — Plataforma de evaluación de seguridad web</w:t>
            </w:r>
            <w:r w:rsidDel="00000000" w:rsidR="00000000" w:rsidRPr="00000000">
              <w:rPr>
                <w:rtl w:val="0"/>
              </w:rPr>
            </w:r>
          </w:p>
        </w:tc>
      </w:tr>
      <w:tr>
        <w:trPr>
          <w:cantSplit w:val="0"/>
          <w:tblHeader w:val="0"/>
        </w:trPr>
        <w:tc>
          <w:tcPr>
            <w:shd w:fill="102a43" w:val="clear"/>
            <w:vAlign w:val="center"/>
          </w:tcPr>
          <w:p w:rsidR="00000000" w:rsidDel="00000000" w:rsidP="00000000" w:rsidRDefault="00000000" w:rsidRPr="00000000" w14:paraId="00000130">
            <w:pPr>
              <w:rPr>
                <w:rFonts w:ascii="Cambria" w:cs="Cambria" w:eastAsia="Cambria" w:hAnsi="Cambria"/>
                <w:sz w:val="22"/>
                <w:szCs w:val="22"/>
              </w:rPr>
            </w:pPr>
            <w:r w:rsidDel="00000000" w:rsidR="00000000" w:rsidRPr="00000000">
              <w:rPr>
                <w:rFonts w:ascii="Calibri" w:cs="Calibri" w:eastAsia="Calibri" w:hAnsi="Calibri"/>
                <w:b w:val="1"/>
                <w:bCs w:val="1"/>
                <w:color w:val="ffffff"/>
                <w:sz w:val="18"/>
                <w:szCs w:val="18"/>
                <w:rtl w:val="0"/>
              </w:rPr>
              <w:t xml:space="preserve">Rol en el equipo</w:t>
            </w:r>
            <w:r w:rsidDel="00000000" w:rsidR="00000000" w:rsidRPr="00000000">
              <w:rPr>
                <w:rtl w:val="0"/>
              </w:rPr>
            </w:r>
          </w:p>
        </w:tc>
        <w:tc>
          <w:tcPr>
            <w:shd w:fill="f1f5f9" w:val="clear"/>
            <w:vAlign w:val="center"/>
          </w:tcPr>
          <w:p w:rsidR="00000000" w:rsidDel="00000000" w:rsidP="00000000" w:rsidRDefault="00000000" w:rsidRPr="00000000" w14:paraId="00000131">
            <w:pPr>
              <w:rPr>
                <w:rFonts w:ascii="Cambria" w:cs="Cambria" w:eastAsia="Cambria" w:hAnsi="Cambria"/>
                <w:sz w:val="22"/>
                <w:szCs w:val="22"/>
              </w:rPr>
            </w:pPr>
            <w:r w:rsidDel="00000000" w:rsidR="00000000" w:rsidRPr="00000000">
              <w:rPr>
                <w:rFonts w:ascii="Calibri" w:cs="Calibri" w:eastAsia="Calibri" w:hAnsi="Calibri"/>
                <w:color w:val="102a43"/>
                <w:sz w:val="18"/>
                <w:szCs w:val="18"/>
                <w:rtl w:val="0"/>
              </w:rPr>
              <w:t xml:space="preserve">Líder del proyecto y líder técnico transversal</w:t>
            </w:r>
            <w:r w:rsidDel="00000000" w:rsidR="00000000" w:rsidRPr="00000000">
              <w:rPr>
                <w:rtl w:val="0"/>
              </w:rPr>
            </w:r>
          </w:p>
        </w:tc>
      </w:tr>
    </w:tbl>
    <w:p w:rsidR="00000000" w:rsidDel="00000000" w:rsidP="00000000" w:rsidRDefault="00000000" w:rsidRPr="00000000" w14:paraId="00000132">
      <w:pPr>
        <w:spacing w:after="100" w:before="200" w:line="276" w:lineRule="auto"/>
        <w:rPr>
          <w:rFonts w:ascii="Cambria" w:cs="Cambria" w:eastAsia="Cambria" w:hAnsi="Cambria"/>
          <w:sz w:val="22"/>
          <w:szCs w:val="22"/>
        </w:rPr>
      </w:pPr>
      <w:r w:rsidDel="00000000" w:rsidR="00000000" w:rsidRPr="00000000">
        <w:rPr>
          <w:rFonts w:ascii="Calibri" w:cs="Calibri" w:eastAsia="Calibri" w:hAnsi="Calibri"/>
          <w:b w:val="1"/>
          <w:bCs w:val="1"/>
          <w:color w:val="102a43"/>
          <w:sz w:val="30"/>
          <w:szCs w:val="30"/>
          <w:rtl w:val="0"/>
        </w:rPr>
        <w:t xml:space="preserve">Descripción del Proyecto APT</w:t>
      </w:r>
      <w:r w:rsidDel="00000000" w:rsidR="00000000" w:rsidRPr="00000000">
        <w:rPr>
          <w:rtl w:val="0"/>
        </w:rPr>
      </w:r>
    </w:p>
    <w:p w:rsidR="00000000" w:rsidDel="00000000" w:rsidP="00000000" w:rsidRDefault="00000000" w:rsidRPr="00000000" w14:paraId="00000133">
      <w:pPr>
        <w:spacing w:after="140" w:line="269" w:lineRule="auto"/>
        <w:jc w:val="both"/>
        <w:rPr>
          <w:rFonts w:ascii="Cambria" w:cs="Cambria" w:eastAsia="Cambria" w:hAnsi="Cambria"/>
          <w:sz w:val="22"/>
          <w:szCs w:val="22"/>
        </w:rPr>
      </w:pPr>
      <w:r w:rsidDel="00000000" w:rsidR="00000000" w:rsidRPr="00000000">
        <w:rPr>
          <w:rFonts w:ascii="Calibri" w:cs="Calibri" w:eastAsia="Calibri" w:hAnsi="Calibri"/>
          <w:color w:val="102a43"/>
          <w:rtl w:val="0"/>
        </w:rPr>
        <w:t xml:space="preserve">VulnHunter es una plataforma web orientada al monitoreo preventivo de seguridad en sitios web propios o expresamente autorizados. El sistema coordina cinco módulos de evaluación: configuración SSL/TLS, posibles reflejos XSS, indicadores de inyección SQL, cabeceras HTTP de seguridad y exposición de directorios o archivos frecuentes. Los hallazgos se normalizan, se clasifican según su severidad y se presentan en reportes PDF que incluyen evidencia técnica y recomendaciones de mitigación.</w:t>
      </w:r>
      <w:r w:rsidDel="00000000" w:rsidR="00000000" w:rsidRPr="00000000">
        <w:rPr>
          <w:rtl w:val="0"/>
        </w:rPr>
      </w:r>
    </w:p>
    <w:p w:rsidR="00000000" w:rsidDel="00000000" w:rsidP="00000000" w:rsidRDefault="00000000" w:rsidRPr="00000000" w14:paraId="00000134">
      <w:pPr>
        <w:spacing w:after="140" w:line="269" w:lineRule="auto"/>
        <w:jc w:val="both"/>
        <w:rPr>
          <w:rFonts w:ascii="Cambria" w:cs="Cambria" w:eastAsia="Cambria" w:hAnsi="Cambria"/>
          <w:sz w:val="22"/>
          <w:szCs w:val="22"/>
        </w:rPr>
      </w:pPr>
      <w:r w:rsidDel="00000000" w:rsidR="00000000" w:rsidRPr="00000000">
        <w:rPr>
          <w:rFonts w:ascii="Calibri" w:cs="Calibri" w:eastAsia="Calibri" w:hAnsi="Calibri"/>
          <w:color w:val="102a43"/>
          <w:rtl w:val="0"/>
        </w:rPr>
        <w:t xml:space="preserve">El proyecto busca apoyar principalmente a PYMES que no cuentan con un equipo especializado de ciberseguridad y necesitan una primera aproximación comprensible a los riesgos de sus activos web. VulnHunter toma como referencia buenas prácticas de OWASP y el contexto generado por la Ley N.º 21.663, pero no pretende reemplazar una auditoría profesional, garantizar la ausencia de vulnerabilidades ni certificar automáticamente el cumplimiento legal.</w:t>
      </w:r>
      <w:r w:rsidDel="00000000" w:rsidR="00000000" w:rsidRPr="00000000">
        <w:rPr>
          <w:rtl w:val="0"/>
        </w:rPr>
      </w:r>
    </w:p>
    <w:p w:rsidR="00000000" w:rsidDel="00000000" w:rsidP="00000000" w:rsidRDefault="00000000" w:rsidRPr="00000000" w14:paraId="00000135">
      <w:pPr>
        <w:spacing w:after="100" w:before="200" w:line="276" w:lineRule="auto"/>
        <w:rPr>
          <w:rFonts w:ascii="Cambria" w:cs="Cambria" w:eastAsia="Cambria" w:hAnsi="Cambria"/>
          <w:sz w:val="22"/>
          <w:szCs w:val="22"/>
        </w:rPr>
      </w:pPr>
      <w:r w:rsidDel="00000000" w:rsidR="00000000" w:rsidRPr="00000000">
        <w:rPr>
          <w:rFonts w:ascii="Calibri" w:cs="Calibri" w:eastAsia="Calibri" w:hAnsi="Calibri"/>
          <w:b w:val="1"/>
          <w:bCs w:val="1"/>
          <w:color w:val="102a43"/>
          <w:sz w:val="30"/>
          <w:szCs w:val="30"/>
          <w:rtl w:val="0"/>
        </w:rPr>
        <w:t xml:space="preserve">Relación del Proyecto APT con las competencias del perfil de egreso</w:t>
      </w:r>
      <w:r w:rsidDel="00000000" w:rsidR="00000000" w:rsidRPr="00000000">
        <w:rPr>
          <w:rtl w:val="0"/>
        </w:rPr>
      </w:r>
    </w:p>
    <w:p w:rsidR="00000000" w:rsidDel="00000000" w:rsidP="00000000" w:rsidRDefault="00000000" w:rsidRPr="00000000" w14:paraId="00000136">
      <w:pPr>
        <w:spacing w:after="140" w:line="269" w:lineRule="auto"/>
        <w:jc w:val="both"/>
        <w:rPr>
          <w:rFonts w:ascii="Cambria" w:cs="Cambria" w:eastAsia="Cambria" w:hAnsi="Cambria"/>
          <w:sz w:val="22"/>
          <w:szCs w:val="22"/>
        </w:rPr>
      </w:pPr>
      <w:r w:rsidDel="00000000" w:rsidR="00000000" w:rsidRPr="00000000">
        <w:rPr>
          <w:rFonts w:ascii="Calibri" w:cs="Calibri" w:eastAsia="Calibri" w:hAnsi="Calibri"/>
          <w:color w:val="102a43"/>
          <w:rtl w:val="0"/>
        </w:rPr>
        <w:t xml:space="preserve">El proyecto se relaciona directamente con las competencias del perfil de egreso de Ingeniería Informática porque integra desarrollo de software, pruebas de seguridad, modelamiento de datos y gestión de proyectos. La construcción de la API y los scanners permite aplicar conocimientos de programación y seguridad; PostgreSQL y SQLAlchemy permiten almacenar activos, escaneos y hallazgos; mientras que GitHub, las ramas y los Pull Requests apoyan la integración y trazabilidad del trabajo del equipo.</w:t>
      </w:r>
      <w:r w:rsidDel="00000000" w:rsidR="00000000" w:rsidRPr="00000000">
        <w:rPr>
          <w:rtl w:val="0"/>
        </w:rPr>
      </w:r>
    </w:p>
    <w:p w:rsidR="00000000" w:rsidDel="00000000" w:rsidP="00000000" w:rsidRDefault="00000000" w:rsidRPr="00000000" w14:paraId="00000137">
      <w:pPr>
        <w:spacing w:after="140" w:line="269" w:lineRule="auto"/>
        <w:jc w:val="both"/>
        <w:rPr>
          <w:rFonts w:ascii="Calibri" w:cs="Calibri" w:eastAsia="Calibri" w:hAnsi="Calibri"/>
          <w:color w:val="102a43"/>
        </w:rPr>
      </w:pPr>
      <w:r w:rsidDel="00000000" w:rsidR="00000000" w:rsidRPr="00000000">
        <w:rPr>
          <w:rFonts w:ascii="Calibri" w:cs="Calibri" w:eastAsia="Calibri" w:hAnsi="Calibri"/>
          <w:color w:val="102a43"/>
          <w:rtl w:val="0"/>
        </w:rPr>
        <w:t xml:space="preserve">En mi caso, aplico principalmente las competencias asociadas con la construcción e integración de soluciones de software y la gestión técnica del proyecto. Creé la base de VulnHunter, desarrollé los scanners, implementé el flujo de escaneo y el reporte PDF, y posteriormente refactoricé el repositorio para mantener una organización modular por funcionalidades. También reviso e integro los aportes de mis compañeros y participo transversalmente cuando aparecen problemas técnicos en otras áreas.</w:t>
      </w:r>
    </w:p>
    <w:p w:rsidR="00000000" w:rsidDel="00000000" w:rsidP="00000000" w:rsidRDefault="00000000" w:rsidRPr="00000000" w14:paraId="00000138">
      <w:pPr>
        <w:spacing w:after="140" w:line="269" w:lineRule="auto"/>
        <w:jc w:val="both"/>
        <w:rPr>
          <w:rFonts w:ascii="Calibri" w:cs="Calibri" w:eastAsia="Calibri" w:hAnsi="Calibri"/>
          <w:color w:val="102a43"/>
        </w:rPr>
      </w:pPr>
      <w:r w:rsidDel="00000000" w:rsidR="00000000" w:rsidRPr="00000000">
        <w:rPr>
          <w:rtl w:val="0"/>
        </w:rPr>
      </w:r>
    </w:p>
    <w:p w:rsidR="00000000" w:rsidDel="00000000" w:rsidP="00000000" w:rsidRDefault="00000000" w:rsidRPr="00000000" w14:paraId="00000139">
      <w:pPr>
        <w:spacing w:after="140" w:line="269" w:lineRule="auto"/>
        <w:jc w:val="both"/>
        <w:rPr>
          <w:rFonts w:ascii="Calibri" w:cs="Calibri" w:eastAsia="Calibri" w:hAnsi="Calibri"/>
          <w:color w:val="102a43"/>
        </w:rPr>
      </w:pPr>
      <w:r w:rsidDel="00000000" w:rsidR="00000000" w:rsidRPr="00000000">
        <w:rPr>
          <w:rtl w:val="0"/>
        </w:rPr>
      </w:r>
    </w:p>
    <w:p w:rsidR="00000000" w:rsidDel="00000000" w:rsidP="00000000" w:rsidRDefault="00000000" w:rsidRPr="00000000" w14:paraId="0000013A">
      <w:pPr>
        <w:spacing w:after="100" w:before="200" w:line="276" w:lineRule="auto"/>
        <w:rPr>
          <w:rFonts w:ascii="Cambria" w:cs="Cambria" w:eastAsia="Cambria" w:hAnsi="Cambria"/>
          <w:sz w:val="22"/>
          <w:szCs w:val="22"/>
        </w:rPr>
      </w:pPr>
      <w:r w:rsidDel="00000000" w:rsidR="00000000" w:rsidRPr="00000000">
        <w:rPr>
          <w:rFonts w:ascii="Calibri" w:cs="Calibri" w:eastAsia="Calibri" w:hAnsi="Calibri"/>
          <w:b w:val="1"/>
          <w:bCs w:val="1"/>
          <w:color w:val="102a43"/>
          <w:sz w:val="30"/>
          <w:szCs w:val="30"/>
          <w:rtl w:val="0"/>
        </w:rPr>
        <w:t xml:space="preserve">Relación del proyecto con mis intereses profesionales</w:t>
      </w:r>
      <w:r w:rsidDel="00000000" w:rsidR="00000000" w:rsidRPr="00000000">
        <w:rPr>
          <w:rtl w:val="0"/>
        </w:rPr>
      </w:r>
    </w:p>
    <w:p w:rsidR="00000000" w:rsidDel="00000000" w:rsidP="00000000" w:rsidRDefault="00000000" w:rsidRPr="00000000" w14:paraId="0000013B">
      <w:pPr>
        <w:spacing w:after="140" w:line="269" w:lineRule="auto"/>
        <w:jc w:val="both"/>
        <w:rPr>
          <w:rFonts w:ascii="Cambria" w:cs="Cambria" w:eastAsia="Cambria" w:hAnsi="Cambria"/>
          <w:sz w:val="22"/>
          <w:szCs w:val="22"/>
        </w:rPr>
      </w:pPr>
      <w:r w:rsidDel="00000000" w:rsidR="00000000" w:rsidRPr="00000000">
        <w:rPr>
          <w:rFonts w:ascii="Calibri" w:cs="Calibri" w:eastAsia="Calibri" w:hAnsi="Calibri"/>
          <w:color w:val="102a43"/>
          <w:rtl w:val="0"/>
        </w:rPr>
        <w:t xml:space="preserve">Mis intereses profesionales se orientan hacia la ciberseguridad aplicada, la seguridad de aplicaciones y el desarrollo de software seguro. VulnHunter refleja estos intereses porque combina programación, análisis de vulnerabilidades, diseño de controles y comunicación de riesgos mediante reportes comprensibles.</w:t>
      </w:r>
      <w:r w:rsidDel="00000000" w:rsidR="00000000" w:rsidRPr="00000000">
        <w:rPr>
          <w:rtl w:val="0"/>
        </w:rPr>
      </w:r>
    </w:p>
    <w:p w:rsidR="00000000" w:rsidDel="00000000" w:rsidP="00000000" w:rsidRDefault="00000000" w:rsidRPr="00000000" w14:paraId="0000013C">
      <w:pPr>
        <w:spacing w:after="140" w:line="269" w:lineRule="auto"/>
        <w:jc w:val="both"/>
        <w:rPr>
          <w:rFonts w:ascii="Cambria" w:cs="Cambria" w:eastAsia="Cambria" w:hAnsi="Cambria"/>
          <w:sz w:val="22"/>
          <w:szCs w:val="22"/>
        </w:rPr>
      </w:pPr>
      <w:r w:rsidDel="00000000" w:rsidR="00000000" w:rsidRPr="00000000">
        <w:rPr>
          <w:rFonts w:ascii="Calibri" w:cs="Calibri" w:eastAsia="Calibri" w:hAnsi="Calibri"/>
          <w:color w:val="102a43"/>
          <w:rtl w:val="0"/>
        </w:rPr>
        <w:t xml:space="preserve">Además, me interesa desarrollar capacidades de liderazgo técnico y convertir soluciones informáticas en productos útiles. Este proyecto me permite coordinar un equipo, tomar decisiones de arquitectura, investigar herramientas nuevas y comprender que un producto de ciberseguridad debe ser seguro en sí mismo. En el futuro me gustaría trabajar como ingeniero de ciberseguridad o Application Security y, si el proyecto demuestra utilidad real, estudiar su evolución hacia un servicio para PYMES.</w:t>
      </w:r>
      <w:r w:rsidDel="00000000" w:rsidR="00000000" w:rsidRPr="00000000">
        <w:rPr>
          <w:rtl w:val="0"/>
        </w:rPr>
      </w:r>
    </w:p>
    <w:p w:rsidR="00000000" w:rsidDel="00000000" w:rsidP="00000000" w:rsidRDefault="00000000" w:rsidRPr="00000000" w14:paraId="0000013D">
      <w:pPr>
        <w:spacing w:after="100" w:before="200" w:line="276" w:lineRule="auto"/>
        <w:rPr>
          <w:rFonts w:ascii="Cambria" w:cs="Cambria" w:eastAsia="Cambria" w:hAnsi="Cambria"/>
          <w:sz w:val="22"/>
          <w:szCs w:val="22"/>
        </w:rPr>
      </w:pPr>
      <w:r w:rsidDel="00000000" w:rsidR="00000000" w:rsidRPr="00000000">
        <w:rPr>
          <w:rFonts w:ascii="Calibri" w:cs="Calibri" w:eastAsia="Calibri" w:hAnsi="Calibri"/>
          <w:b w:val="1"/>
          <w:bCs w:val="1"/>
          <w:color w:val="102a43"/>
          <w:sz w:val="30"/>
          <w:szCs w:val="30"/>
          <w:rtl w:val="0"/>
        </w:rPr>
        <w:t xml:space="preserve">Argumento de la factibilidad del proyecto dentro de la asignatura</w:t>
      </w:r>
      <w:r w:rsidDel="00000000" w:rsidR="00000000" w:rsidRPr="00000000">
        <w:rPr>
          <w:rtl w:val="0"/>
        </w:rPr>
      </w:r>
    </w:p>
    <w:p w:rsidR="00000000" w:rsidDel="00000000" w:rsidP="00000000" w:rsidRDefault="00000000" w:rsidRPr="00000000" w14:paraId="0000013E">
      <w:pPr>
        <w:spacing w:after="140" w:line="269" w:lineRule="auto"/>
        <w:jc w:val="both"/>
        <w:rPr>
          <w:rFonts w:ascii="Cambria" w:cs="Cambria" w:eastAsia="Cambria" w:hAnsi="Cambria"/>
          <w:sz w:val="22"/>
          <w:szCs w:val="22"/>
        </w:rPr>
      </w:pPr>
      <w:r w:rsidDel="00000000" w:rsidR="00000000" w:rsidRPr="00000000">
        <w:rPr>
          <w:rFonts w:ascii="Calibri" w:cs="Calibri" w:eastAsia="Calibri" w:hAnsi="Calibri"/>
          <w:color w:val="102a43"/>
          <w:rtl w:val="0"/>
        </w:rPr>
        <w:t xml:space="preserve">El proyecto es factible dentro de la asignatura porque ya cuenta con un núcleo funcional compuesto por una API FastAPI, cinco scanners, seguimiento del progreso, clasificación de riesgo, generación de reportes PDF e integración inicial con PostgreSQL. Esto permite dedicar el semestre a consolidar e integrar componentes en lugar de comenzar completamente desde cero.</w:t>
      </w:r>
      <w:r w:rsidDel="00000000" w:rsidR="00000000" w:rsidRPr="00000000">
        <w:rPr>
          <w:rtl w:val="0"/>
        </w:rPr>
      </w:r>
    </w:p>
    <w:p w:rsidR="00000000" w:rsidDel="00000000" w:rsidP="00000000" w:rsidRDefault="00000000" w:rsidRPr="00000000" w14:paraId="0000013F">
      <w:pPr>
        <w:spacing w:after="140" w:line="269" w:lineRule="auto"/>
        <w:jc w:val="both"/>
        <w:rPr>
          <w:rFonts w:ascii="Cambria" w:cs="Cambria" w:eastAsia="Cambria" w:hAnsi="Cambria"/>
          <w:sz w:val="22"/>
          <w:szCs w:val="22"/>
        </w:rPr>
      </w:pPr>
      <w:r w:rsidDel="00000000" w:rsidR="00000000" w:rsidRPr="00000000">
        <w:rPr>
          <w:rFonts w:ascii="Calibri" w:cs="Calibri" w:eastAsia="Calibri" w:hAnsi="Calibri"/>
          <w:color w:val="102a43"/>
          <w:rtl w:val="0"/>
        </w:rPr>
        <w:t xml:space="preserve">Los recursos necesarios son computadores con acceso a internet, GitHub, Docker, PostgreSQL y laboratorios de seguridad autorizados, por lo que no se requieren materiales físicos de alto costo. La división de responsabilidades también favorece el desarrollo: Carlos trabaja principalmente en base de datos, Diego en frontend, Ignacio en documentación y yo coordino el proyecto, la arquitectura, los scanners, los reportes y la integración técnica.</w:t>
      </w:r>
      <w:r w:rsidDel="00000000" w:rsidR="00000000" w:rsidRPr="00000000">
        <w:rPr>
          <w:rtl w:val="0"/>
        </w:rPr>
      </w:r>
    </w:p>
    <w:p w:rsidR="00000000" w:rsidDel="00000000" w:rsidP="00000000" w:rsidRDefault="00000000" w:rsidRPr="00000000" w14:paraId="00000140">
      <w:pPr>
        <w:spacing w:after="140" w:line="269" w:lineRule="auto"/>
        <w:jc w:val="both"/>
        <w:rPr>
          <w:rFonts w:ascii="Cambria" w:cs="Cambria" w:eastAsia="Cambria" w:hAnsi="Cambria"/>
          <w:sz w:val="22"/>
          <w:szCs w:val="22"/>
        </w:rPr>
      </w:pPr>
      <w:r w:rsidDel="00000000" w:rsidR="00000000" w:rsidRPr="00000000">
        <w:rPr>
          <w:rFonts w:ascii="Calibri" w:cs="Calibri" w:eastAsia="Calibri" w:hAnsi="Calibri"/>
          <w:color w:val="102a43"/>
          <w:rtl w:val="0"/>
        </w:rPr>
        <w:t xml:space="preserve">Las principales dificultades son el alcance excesivo, la posibilidad de falsos positivos o negativos, la integración de componentes y el uso seguro de los scanners. Para enfrentarlas se priorizará un MVP, se utilizarán sprints semanales, ramas por funcionalidad, Pull Requests, pruebas en laboratorios controlados y criterios de aceptación. Las funcionalidades comerciales avanzadas se dejarán para etapas posteriores.</w:t>
      </w:r>
      <w:r w:rsidDel="00000000" w:rsidR="00000000" w:rsidRPr="00000000">
        <w:rPr>
          <w:rtl w:val="0"/>
        </w:rPr>
      </w:r>
    </w:p>
    <w:p w:rsidR="00000000" w:rsidDel="00000000" w:rsidP="00000000" w:rsidRDefault="00000000" w:rsidRPr="00000000" w14:paraId="00000141">
      <w:pPr>
        <w:spacing w:after="100" w:before="200" w:line="276" w:lineRule="auto"/>
        <w:rPr>
          <w:rFonts w:ascii="Cambria" w:cs="Cambria" w:eastAsia="Cambria" w:hAnsi="Cambria"/>
          <w:sz w:val="22"/>
          <w:szCs w:val="22"/>
        </w:rPr>
      </w:pPr>
      <w:r w:rsidDel="00000000" w:rsidR="00000000" w:rsidRPr="00000000">
        <w:rPr>
          <w:rFonts w:ascii="Calibri" w:cs="Calibri" w:eastAsia="Calibri" w:hAnsi="Calibri"/>
          <w:b w:val="1"/>
          <w:bCs w:val="1"/>
          <w:color w:val="102a43"/>
          <w:sz w:val="30"/>
          <w:szCs w:val="30"/>
          <w:rtl w:val="0"/>
        </w:rPr>
        <w:t xml:space="preserve">Objetivos</w:t>
      </w:r>
      <w:r w:rsidDel="00000000" w:rsidR="00000000" w:rsidRPr="00000000">
        <w:rPr>
          <w:rtl w:val="0"/>
        </w:rPr>
      </w:r>
    </w:p>
    <w:p w:rsidR="00000000" w:rsidDel="00000000" w:rsidP="00000000" w:rsidRDefault="00000000" w:rsidRPr="00000000" w14:paraId="00000142">
      <w:pPr>
        <w:spacing w:after="100" w:before="200" w:line="276" w:lineRule="auto"/>
        <w:rPr>
          <w:rFonts w:ascii="Cambria" w:cs="Cambria" w:eastAsia="Cambria" w:hAnsi="Cambria"/>
          <w:sz w:val="22"/>
          <w:szCs w:val="22"/>
          <w:u w:val="single"/>
        </w:rPr>
      </w:pPr>
      <w:r w:rsidDel="00000000" w:rsidR="00000000" w:rsidRPr="00000000">
        <w:rPr>
          <w:rFonts w:ascii="Calibri" w:cs="Calibri" w:eastAsia="Calibri" w:hAnsi="Calibri"/>
          <w:b w:val="1"/>
          <w:bCs w:val="1"/>
          <w:sz w:val="24"/>
          <w:szCs w:val="24"/>
          <w:u w:val="single"/>
          <w:rtl w:val="0"/>
        </w:rPr>
        <w:t xml:space="preserve">Objetivo general</w:t>
      </w:r>
      <w:r w:rsidDel="00000000" w:rsidR="00000000" w:rsidRPr="00000000">
        <w:rPr>
          <w:rtl w:val="0"/>
        </w:rPr>
      </w:r>
    </w:p>
    <w:p w:rsidR="00000000" w:rsidDel="00000000" w:rsidP="00000000" w:rsidRDefault="00000000" w:rsidRPr="00000000" w14:paraId="00000143">
      <w:pPr>
        <w:spacing w:after="140" w:line="269" w:lineRule="auto"/>
        <w:jc w:val="both"/>
        <w:rPr>
          <w:rFonts w:ascii="Cambria" w:cs="Cambria" w:eastAsia="Cambria" w:hAnsi="Cambria"/>
          <w:sz w:val="22"/>
          <w:szCs w:val="22"/>
        </w:rPr>
      </w:pPr>
      <w:r w:rsidDel="00000000" w:rsidR="00000000" w:rsidRPr="00000000">
        <w:rPr>
          <w:rFonts w:ascii="Calibri" w:cs="Calibri" w:eastAsia="Calibri" w:hAnsi="Calibri"/>
          <w:color w:val="102a43"/>
          <w:rtl w:val="0"/>
        </w:rPr>
        <w:t xml:space="preserve">Desarrollar y validar un MVP de plataforma web capaz de ejecutar evaluaciones automatizadas sobre activos autorizados, clasificar y almacenar sus hallazgos, permitir su consulta mediante una interfaz y generar reportes PDF con evidencia y recomendaciones, tomando OWASP como referencia técnica y orientándose a las necesidades de PYMES.</w:t>
      </w:r>
      <w:r w:rsidDel="00000000" w:rsidR="00000000" w:rsidRPr="00000000">
        <w:rPr>
          <w:rtl w:val="0"/>
        </w:rPr>
      </w:r>
    </w:p>
    <w:p w:rsidR="00000000" w:rsidDel="00000000" w:rsidP="00000000" w:rsidRDefault="00000000" w:rsidRPr="00000000" w14:paraId="00000144">
      <w:pPr>
        <w:spacing w:after="100" w:before="200" w:line="276" w:lineRule="auto"/>
        <w:rPr>
          <w:rFonts w:ascii="Cambria" w:cs="Cambria" w:eastAsia="Cambria" w:hAnsi="Cambria"/>
          <w:sz w:val="22"/>
          <w:szCs w:val="22"/>
          <w:u w:val="single"/>
        </w:rPr>
      </w:pPr>
      <w:r w:rsidDel="00000000" w:rsidR="00000000" w:rsidRPr="00000000">
        <w:rPr>
          <w:rFonts w:ascii="Calibri" w:cs="Calibri" w:eastAsia="Calibri" w:hAnsi="Calibri"/>
          <w:b w:val="1"/>
          <w:bCs w:val="1"/>
          <w:sz w:val="24"/>
          <w:szCs w:val="24"/>
          <w:u w:val="single"/>
          <w:rtl w:val="0"/>
        </w:rPr>
        <w:t xml:space="preserve">Objetivos específicos</w:t>
      </w:r>
      <w:r w:rsidDel="00000000" w:rsidR="00000000" w:rsidRPr="00000000">
        <w:rPr>
          <w:rtl w:val="0"/>
        </w:rPr>
      </w:r>
    </w:p>
    <w:p w:rsidR="00000000" w:rsidDel="00000000" w:rsidP="00000000" w:rsidRDefault="00000000" w:rsidRPr="00000000" w14:paraId="00000145">
      <w:pPr>
        <w:numPr>
          <w:ilvl w:val="0"/>
          <w:numId w:val="1"/>
        </w:numPr>
        <w:spacing w:line="276" w:lineRule="auto"/>
        <w:ind w:left="360"/>
        <w:rPr>
          <w:sz w:val="22"/>
          <w:szCs w:val="22"/>
        </w:rPr>
      </w:pPr>
      <w:r w:rsidDel="00000000" w:rsidR="00000000" w:rsidRPr="00000000">
        <w:rPr>
          <w:rFonts w:ascii="Calibri" w:cs="Calibri" w:eastAsia="Calibri" w:hAnsi="Calibri"/>
          <w:color w:val="102a43"/>
          <w:rtl w:val="0"/>
        </w:rPr>
        <w:t xml:space="preserve">Estandarizar los resultados de los módulos SSL/TLS, XSS, inyección SQL, cabeceras de seguridad y exposición de directorios o archivos.</w:t>
      </w:r>
      <w:r w:rsidDel="00000000" w:rsidR="00000000" w:rsidRPr="00000000">
        <w:rPr>
          <w:rtl w:val="0"/>
        </w:rPr>
      </w:r>
    </w:p>
    <w:p w:rsidR="00000000" w:rsidDel="00000000" w:rsidP="00000000" w:rsidRDefault="00000000" w:rsidRPr="00000000" w14:paraId="00000146">
      <w:pPr>
        <w:numPr>
          <w:ilvl w:val="0"/>
          <w:numId w:val="1"/>
        </w:numPr>
        <w:spacing w:line="276" w:lineRule="auto"/>
        <w:ind w:left="360"/>
        <w:rPr>
          <w:sz w:val="22"/>
          <w:szCs w:val="22"/>
        </w:rPr>
      </w:pPr>
      <w:r w:rsidDel="00000000" w:rsidR="00000000" w:rsidRPr="00000000">
        <w:rPr>
          <w:rFonts w:ascii="Calibri" w:cs="Calibri" w:eastAsia="Calibri" w:hAnsi="Calibri"/>
          <w:color w:val="102a43"/>
          <w:rtl w:val="0"/>
        </w:rPr>
        <w:t xml:space="preserve">Integrar PostgreSQL para conservar activos, escaneos y hallazgos de forma persistente.</w:t>
      </w:r>
      <w:r w:rsidDel="00000000" w:rsidR="00000000" w:rsidRPr="00000000">
        <w:rPr>
          <w:rtl w:val="0"/>
        </w:rPr>
      </w:r>
    </w:p>
    <w:p w:rsidR="00000000" w:rsidDel="00000000" w:rsidP="00000000" w:rsidRDefault="00000000" w:rsidRPr="00000000" w14:paraId="00000147">
      <w:pPr>
        <w:numPr>
          <w:ilvl w:val="0"/>
          <w:numId w:val="1"/>
        </w:numPr>
        <w:spacing w:line="276" w:lineRule="auto"/>
        <w:ind w:left="360"/>
        <w:rPr>
          <w:sz w:val="22"/>
          <w:szCs w:val="22"/>
        </w:rPr>
      </w:pPr>
      <w:r w:rsidDel="00000000" w:rsidR="00000000" w:rsidRPr="00000000">
        <w:rPr>
          <w:rFonts w:ascii="Calibri" w:cs="Calibri" w:eastAsia="Calibri" w:hAnsi="Calibri"/>
          <w:color w:val="102a43"/>
          <w:rtl w:val="0"/>
        </w:rPr>
        <w:t xml:space="preserve">Integrar el frontend con la API para iniciar escaneos, consultar su progreso y descargar reportes.</w:t>
      </w:r>
      <w:r w:rsidDel="00000000" w:rsidR="00000000" w:rsidRPr="00000000">
        <w:rPr>
          <w:rtl w:val="0"/>
        </w:rPr>
      </w:r>
    </w:p>
    <w:p w:rsidR="00000000" w:rsidDel="00000000" w:rsidP="00000000" w:rsidRDefault="00000000" w:rsidRPr="00000000" w14:paraId="00000148">
      <w:pPr>
        <w:numPr>
          <w:ilvl w:val="0"/>
          <w:numId w:val="1"/>
        </w:numPr>
        <w:spacing w:line="276" w:lineRule="auto"/>
        <w:ind w:left="360"/>
        <w:rPr>
          <w:sz w:val="22"/>
          <w:szCs w:val="22"/>
        </w:rPr>
      </w:pPr>
      <w:r w:rsidDel="00000000" w:rsidR="00000000" w:rsidRPr="00000000">
        <w:rPr>
          <w:rFonts w:ascii="Calibri" w:cs="Calibri" w:eastAsia="Calibri" w:hAnsi="Calibri"/>
          <w:color w:val="102a43"/>
          <w:rtl w:val="0"/>
        </w:rPr>
        <w:t xml:space="preserve">Implementar autenticación, separación entre organizaciones y verificación de propiedad de activos.</w:t>
      </w:r>
      <w:r w:rsidDel="00000000" w:rsidR="00000000" w:rsidRPr="00000000">
        <w:rPr>
          <w:rtl w:val="0"/>
        </w:rPr>
      </w:r>
    </w:p>
    <w:p w:rsidR="00000000" w:rsidDel="00000000" w:rsidP="00000000" w:rsidRDefault="00000000" w:rsidRPr="00000000" w14:paraId="00000149">
      <w:pPr>
        <w:numPr>
          <w:ilvl w:val="0"/>
          <w:numId w:val="1"/>
        </w:numPr>
        <w:spacing w:line="276" w:lineRule="auto"/>
        <w:ind w:left="360"/>
        <w:rPr>
          <w:sz w:val="22"/>
          <w:szCs w:val="22"/>
        </w:rPr>
      </w:pPr>
      <w:r w:rsidDel="00000000" w:rsidR="00000000" w:rsidRPr="00000000">
        <w:rPr>
          <w:rFonts w:ascii="Calibri" w:cs="Calibri" w:eastAsia="Calibri" w:hAnsi="Calibri"/>
          <w:color w:val="102a43"/>
          <w:rtl w:val="0"/>
        </w:rPr>
        <w:t xml:space="preserve">Aplicar controles de ejecución segura, incluyendo mitigaciones anti-SSRF y límites operativos.</w:t>
      </w:r>
      <w:r w:rsidDel="00000000" w:rsidR="00000000" w:rsidRPr="00000000">
        <w:rPr>
          <w:rtl w:val="0"/>
        </w:rPr>
      </w:r>
    </w:p>
    <w:p w:rsidR="00000000" w:rsidDel="00000000" w:rsidP="00000000" w:rsidRDefault="00000000" w:rsidRPr="00000000" w14:paraId="0000014A">
      <w:pPr>
        <w:numPr>
          <w:ilvl w:val="0"/>
          <w:numId w:val="1"/>
        </w:numPr>
        <w:spacing w:line="276" w:lineRule="auto"/>
        <w:ind w:left="360"/>
        <w:rPr>
          <w:sz w:val="22"/>
          <w:szCs w:val="22"/>
        </w:rPr>
      </w:pPr>
      <w:r w:rsidDel="00000000" w:rsidR="00000000" w:rsidRPr="00000000">
        <w:rPr>
          <w:rFonts w:ascii="Calibri" w:cs="Calibri" w:eastAsia="Calibri" w:hAnsi="Calibri"/>
          <w:color w:val="102a43"/>
          <w:rtl w:val="0"/>
        </w:rPr>
        <w:t xml:space="preserve">Validar los scanners en laboratorios controlados mediante casos positivos y negativos.</w:t>
      </w:r>
      <w:r w:rsidDel="00000000" w:rsidR="00000000" w:rsidRPr="00000000">
        <w:rPr>
          <w:rtl w:val="0"/>
        </w:rPr>
      </w:r>
    </w:p>
    <w:p w:rsidR="00000000" w:rsidDel="00000000" w:rsidP="00000000" w:rsidRDefault="00000000" w:rsidRPr="00000000" w14:paraId="0000014B">
      <w:pPr>
        <w:numPr>
          <w:ilvl w:val="0"/>
          <w:numId w:val="1"/>
        </w:numPr>
        <w:spacing w:after="80" w:line="276" w:lineRule="auto"/>
        <w:ind w:left="360"/>
        <w:rPr>
          <w:sz w:val="22"/>
          <w:szCs w:val="22"/>
        </w:rPr>
      </w:pPr>
      <w:r w:rsidDel="00000000" w:rsidR="00000000" w:rsidRPr="00000000">
        <w:rPr>
          <w:rFonts w:ascii="Calibri" w:cs="Calibri" w:eastAsia="Calibri" w:hAnsi="Calibri"/>
          <w:color w:val="102a43"/>
          <w:rtl w:val="0"/>
        </w:rPr>
        <w:t xml:space="preserve">Mantener documentación y evidencias que permitan demostrar el aporte de cada integrante.</w:t>
      </w:r>
      <w:r w:rsidDel="00000000" w:rsidR="00000000" w:rsidRPr="00000000">
        <w:rPr>
          <w:rtl w:val="0"/>
        </w:rPr>
      </w:r>
    </w:p>
    <w:p w:rsidR="00000000" w:rsidDel="00000000" w:rsidP="00000000" w:rsidRDefault="00000000" w:rsidRPr="00000000" w14:paraId="0000014C">
      <w:pPr>
        <w:spacing w:after="100" w:before="200" w:line="276" w:lineRule="auto"/>
        <w:rPr>
          <w:rFonts w:ascii="Cambria" w:cs="Cambria" w:eastAsia="Cambria" w:hAnsi="Cambria"/>
          <w:sz w:val="22"/>
          <w:szCs w:val="22"/>
        </w:rPr>
      </w:pPr>
      <w:r w:rsidDel="00000000" w:rsidR="00000000" w:rsidRPr="00000000">
        <w:rPr>
          <w:rFonts w:ascii="Calibri" w:cs="Calibri" w:eastAsia="Calibri" w:hAnsi="Calibri"/>
          <w:b w:val="1"/>
          <w:bCs w:val="1"/>
          <w:color w:val="102a43"/>
          <w:sz w:val="30"/>
          <w:szCs w:val="30"/>
          <w:rtl w:val="0"/>
        </w:rPr>
        <w:t xml:space="preserve">Propuesta metodológica</w:t>
      </w:r>
      <w:r w:rsidDel="00000000" w:rsidR="00000000" w:rsidRPr="00000000">
        <w:rPr>
          <w:rtl w:val="0"/>
        </w:rPr>
      </w:r>
    </w:p>
    <w:p w:rsidR="00000000" w:rsidDel="00000000" w:rsidP="00000000" w:rsidRDefault="00000000" w:rsidRPr="00000000" w14:paraId="0000014D">
      <w:pPr>
        <w:spacing w:after="140" w:line="269" w:lineRule="auto"/>
        <w:jc w:val="both"/>
        <w:rPr>
          <w:rFonts w:ascii="Cambria" w:cs="Cambria" w:eastAsia="Cambria" w:hAnsi="Cambria"/>
          <w:sz w:val="22"/>
          <w:szCs w:val="22"/>
        </w:rPr>
      </w:pPr>
      <w:r w:rsidDel="00000000" w:rsidR="00000000" w:rsidRPr="00000000">
        <w:rPr>
          <w:rFonts w:ascii="Calibri" w:cs="Calibri" w:eastAsia="Calibri" w:hAnsi="Calibri"/>
          <w:color w:val="102a43"/>
          <w:rtl w:val="0"/>
        </w:rPr>
        <w:t xml:space="preserve">El proyecto se desarrollará mediante una metodología ágil inspirada en Scrum, utilizando sprints semanales. En cada ciclo se revisarán avances, dificultades y prioridades, y cada tarea deberá contar con un responsable y un criterio de aceptación. El código se trabajará en ramas separadas y se integrará mediante Pull Requests después de una revisión técnica.</w:t>
      </w:r>
      <w:r w:rsidDel="00000000" w:rsidR="00000000" w:rsidRPr="00000000">
        <w:rPr>
          <w:rtl w:val="0"/>
        </w:rPr>
      </w:r>
    </w:p>
    <w:p w:rsidR="00000000" w:rsidDel="00000000" w:rsidP="00000000" w:rsidRDefault="00000000" w:rsidRPr="00000000" w14:paraId="0000014E">
      <w:pPr>
        <w:spacing w:after="140" w:line="269" w:lineRule="auto"/>
        <w:jc w:val="both"/>
        <w:rPr>
          <w:rFonts w:ascii="Cambria" w:cs="Cambria" w:eastAsia="Cambria" w:hAnsi="Cambria"/>
          <w:sz w:val="22"/>
          <w:szCs w:val="22"/>
        </w:rPr>
      </w:pPr>
      <w:r w:rsidDel="00000000" w:rsidR="00000000" w:rsidRPr="00000000">
        <w:rPr>
          <w:rFonts w:ascii="Calibri" w:cs="Calibri" w:eastAsia="Calibri" w:hAnsi="Calibri"/>
          <w:color w:val="102a43"/>
          <w:rtl w:val="0"/>
        </w:rPr>
        <w:t xml:space="preserve">Como líder, coordinaré el backlog, apoyaré la resolución de bloqueos y verificaré que los componentes sean compatibles con la arquitectura oficial. Carlos se concentrará en datos y persistencia; Diego, en la interfaz y experiencia de usuario; e Ignacio, en documentación, manuales y evidencias. GitHub se utilizará para control de versiones y trazabilidad, y la planificación se apoyará en una carta Gantt de 18 semanas.</w:t>
      </w:r>
      <w:r w:rsidDel="00000000" w:rsidR="00000000" w:rsidRPr="00000000">
        <w:rPr>
          <w:rtl w:val="0"/>
        </w:rPr>
      </w:r>
    </w:p>
    <w:p w:rsidR="00000000" w:rsidDel="00000000" w:rsidP="00000000" w:rsidRDefault="00000000" w:rsidRPr="00000000" w14:paraId="0000014F">
      <w:pPr>
        <w:spacing w:after="100" w:before="200" w:line="276" w:lineRule="auto"/>
        <w:rPr>
          <w:rFonts w:ascii="Cambria" w:cs="Cambria" w:eastAsia="Cambria" w:hAnsi="Cambria"/>
          <w:sz w:val="22"/>
          <w:szCs w:val="22"/>
        </w:rPr>
      </w:pPr>
      <w:r w:rsidDel="00000000" w:rsidR="00000000" w:rsidRPr="00000000">
        <w:rPr>
          <w:rFonts w:ascii="Calibri" w:cs="Calibri" w:eastAsia="Calibri" w:hAnsi="Calibri"/>
          <w:b w:val="1"/>
          <w:bCs w:val="1"/>
          <w:color w:val="102a43"/>
          <w:sz w:val="30"/>
          <w:szCs w:val="30"/>
          <w:rtl w:val="0"/>
        </w:rPr>
        <w:t xml:space="preserve">Plan de trabajo</w:t>
      </w:r>
      <w:r w:rsidDel="00000000" w:rsidR="00000000" w:rsidRPr="00000000">
        <w:rPr>
          <w:rtl w:val="0"/>
        </w:rPr>
      </w:r>
    </w:p>
    <w:p w:rsidR="00000000" w:rsidDel="00000000" w:rsidP="00000000" w:rsidRDefault="00000000" w:rsidRPr="00000000" w14:paraId="00000150">
      <w:pPr>
        <w:spacing w:after="140" w:line="269" w:lineRule="auto"/>
        <w:jc w:val="both"/>
        <w:rPr>
          <w:rFonts w:ascii="Cambria" w:cs="Cambria" w:eastAsia="Cambria" w:hAnsi="Cambria"/>
          <w:sz w:val="22"/>
          <w:szCs w:val="22"/>
        </w:rPr>
      </w:pPr>
      <w:r w:rsidDel="00000000" w:rsidR="00000000" w:rsidRPr="00000000">
        <w:rPr>
          <w:rFonts w:ascii="Calibri" w:cs="Calibri" w:eastAsia="Calibri" w:hAnsi="Calibri"/>
          <w:color w:val="102a43"/>
          <w:rtl w:val="0"/>
        </w:rPr>
        <w:t xml:space="preserve">El plan de trabajo se divide en tres fases. La primera comprende definición del alcance, organización modular, scanners, modelo de datos y planificación. La segunda considera persistencia completa, integración frontend–API, autenticación, verificación de activos y seguridad de ejecución. La tercera se orienta a pruebas de laboratorio, medición de resultados, Docker, despliegue controlado, documentación final y preparación de la defensa.</w:t>
      </w:r>
      <w:r w:rsidDel="00000000" w:rsidR="00000000" w:rsidRPr="00000000">
        <w:rPr>
          <w:rtl w:val="0"/>
        </w:rPr>
      </w:r>
    </w:p>
    <w:p w:rsidR="00000000" w:rsidDel="00000000" w:rsidP="00000000" w:rsidRDefault="00000000" w:rsidRPr="00000000" w14:paraId="00000151">
      <w:pPr>
        <w:spacing w:after="140" w:line="269" w:lineRule="auto"/>
        <w:jc w:val="both"/>
        <w:rPr>
          <w:rFonts w:ascii="Cambria" w:cs="Cambria" w:eastAsia="Cambria" w:hAnsi="Cambria"/>
          <w:sz w:val="22"/>
          <w:szCs w:val="22"/>
        </w:rPr>
      </w:pPr>
      <w:r w:rsidDel="00000000" w:rsidR="00000000" w:rsidRPr="00000000">
        <w:rPr>
          <w:rFonts w:ascii="Calibri" w:cs="Calibri" w:eastAsia="Calibri" w:hAnsi="Calibri"/>
          <w:color w:val="102a43"/>
          <w:rtl w:val="0"/>
        </w:rPr>
        <w:t xml:space="preserve">Cada actividad considera recursos, duración, responsable, riesgos y criterio de término. Se priorizará que el flujo completo —interfaz, API, worker de escaneo, PostgreSQL y reporte PDF— pueda demostrarse de forma reproducible antes de incorporar suscripciones, infraestructura avanzada o nuevos scanners.</w:t>
      </w:r>
      <w:r w:rsidDel="00000000" w:rsidR="00000000" w:rsidRPr="00000000">
        <w:rPr>
          <w:rtl w:val="0"/>
        </w:rPr>
      </w:r>
    </w:p>
    <w:p w:rsidR="00000000" w:rsidDel="00000000" w:rsidP="00000000" w:rsidRDefault="00000000" w:rsidRPr="00000000" w14:paraId="00000152">
      <w:pPr>
        <w:spacing w:after="100" w:before="200" w:line="276" w:lineRule="auto"/>
        <w:rPr>
          <w:rFonts w:ascii="Cambria" w:cs="Cambria" w:eastAsia="Cambria" w:hAnsi="Cambria"/>
          <w:sz w:val="22"/>
          <w:szCs w:val="22"/>
        </w:rPr>
      </w:pPr>
      <w:r w:rsidDel="00000000" w:rsidR="00000000" w:rsidRPr="00000000">
        <w:rPr>
          <w:rFonts w:ascii="Calibri" w:cs="Calibri" w:eastAsia="Calibri" w:hAnsi="Calibri"/>
          <w:b w:val="1"/>
          <w:bCs w:val="1"/>
          <w:color w:val="102a43"/>
          <w:sz w:val="30"/>
          <w:szCs w:val="30"/>
          <w:rtl w:val="0"/>
        </w:rPr>
        <w:t xml:space="preserve">Propuesta de evidencias</w:t>
      </w:r>
      <w:r w:rsidDel="00000000" w:rsidR="00000000" w:rsidRPr="00000000">
        <w:rPr>
          <w:rtl w:val="0"/>
        </w:rPr>
      </w:r>
    </w:p>
    <w:p w:rsidR="00000000" w:rsidDel="00000000" w:rsidP="00000000" w:rsidRDefault="00000000" w:rsidRPr="00000000" w14:paraId="00000153">
      <w:pPr>
        <w:spacing w:after="140" w:line="269" w:lineRule="auto"/>
        <w:jc w:val="both"/>
        <w:rPr>
          <w:rFonts w:ascii="Cambria" w:cs="Cambria" w:eastAsia="Cambria" w:hAnsi="Cambria"/>
          <w:sz w:val="22"/>
          <w:szCs w:val="22"/>
        </w:rPr>
      </w:pPr>
      <w:r w:rsidDel="00000000" w:rsidR="00000000" w:rsidRPr="00000000">
        <w:rPr>
          <w:rFonts w:ascii="Calibri" w:cs="Calibri" w:eastAsia="Calibri" w:hAnsi="Calibri"/>
          <w:color w:val="102a43"/>
          <w:rtl w:val="0"/>
        </w:rPr>
        <w:t xml:space="preserve">Como evidencias del proyecto se consideran el repositorio de GitHub y su historial de commits; las ramas y Pull Requests de arquitectura, reporte y base de datos; los scanners ejecutándose desde la API; las respuestas observadas en Swagger; los registros persistidos en PostgreSQL; la primera versión funcional del frontend; los reportes PDF; la carta Gantt; la documentación técnica; y una matriz de pruebas con casos positivos, negativos, tiempos y limitaciones.</w:t>
      </w:r>
      <w:r w:rsidDel="00000000" w:rsidR="00000000" w:rsidRPr="00000000">
        <w:rPr>
          <w:rtl w:val="0"/>
        </w:rPr>
      </w:r>
    </w:p>
    <w:p w:rsidR="00000000" w:rsidDel="00000000" w:rsidP="00000000" w:rsidRDefault="00000000" w:rsidRPr="00000000" w14:paraId="00000154">
      <w:pPr>
        <w:spacing w:after="140" w:line="269" w:lineRule="auto"/>
        <w:jc w:val="both"/>
        <w:rPr>
          <w:rFonts w:ascii="Calibri" w:cs="Calibri" w:eastAsia="Calibri" w:hAnsi="Calibri"/>
          <w:color w:val="102a43"/>
        </w:rPr>
      </w:pPr>
      <w:r w:rsidDel="00000000" w:rsidR="00000000" w:rsidRPr="00000000">
        <w:rPr>
          <w:rFonts w:ascii="Calibri" w:cs="Calibri" w:eastAsia="Calibri" w:hAnsi="Calibri"/>
          <w:color w:val="102a43"/>
          <w:rtl w:val="0"/>
        </w:rPr>
        <w:t xml:space="preserve">Estas evidencias permiten demostrar no solo la existencia del producto, sino también la participación individual, las decisiones tomadas y la evolución del MVP. En mi caso, los commits relacionados con la creación del proyecto, scanners, mejora del reporte y refactorización modular respaldan mi aporte técnico, mientras que la integración de Pull Requests evidencia mi responsabilidad como líder del equipo.</w:t>
      </w:r>
    </w:p>
    <w:p w:rsidR="00000000" w:rsidDel="00000000" w:rsidP="00000000" w:rsidRDefault="00000000" w:rsidRPr="00000000" w14:paraId="00000155">
      <w:pPr>
        <w:spacing w:after="140" w:line="269" w:lineRule="auto"/>
        <w:jc w:val="both"/>
        <w:rPr>
          <w:rFonts w:ascii="Calibri" w:cs="Calibri" w:eastAsia="Calibri" w:hAnsi="Calibri"/>
          <w:color w:val="102a43"/>
        </w:rPr>
      </w:pPr>
      <w:r w:rsidDel="00000000" w:rsidR="00000000" w:rsidRPr="00000000">
        <w:rPr>
          <w:rtl w:val="0"/>
        </w:rPr>
      </w:r>
    </w:p>
    <w:p w:rsidR="00000000" w:rsidDel="00000000" w:rsidP="00000000" w:rsidRDefault="00000000" w:rsidRPr="00000000" w14:paraId="00000156">
      <w:pPr>
        <w:spacing w:after="140" w:line="269" w:lineRule="auto"/>
        <w:jc w:val="both"/>
        <w:rPr>
          <w:rFonts w:ascii="Calibri" w:cs="Calibri" w:eastAsia="Calibri" w:hAnsi="Calibri"/>
          <w:color w:val="102a43"/>
        </w:rPr>
      </w:pPr>
      <w:r w:rsidDel="00000000" w:rsidR="00000000" w:rsidRPr="00000000">
        <w:rPr>
          <w:rtl w:val="0"/>
        </w:rPr>
      </w:r>
    </w:p>
    <w:p w:rsidR="00000000" w:rsidDel="00000000" w:rsidP="00000000" w:rsidRDefault="00000000" w:rsidRPr="00000000" w14:paraId="00000157">
      <w:pPr>
        <w:spacing w:after="100" w:before="200" w:line="276" w:lineRule="auto"/>
        <w:rPr>
          <w:rFonts w:ascii="Cambria" w:cs="Cambria" w:eastAsia="Cambria" w:hAnsi="Cambria"/>
          <w:sz w:val="22"/>
          <w:szCs w:val="22"/>
        </w:rPr>
      </w:pPr>
      <w:r w:rsidDel="00000000" w:rsidR="00000000" w:rsidRPr="00000000">
        <w:rPr>
          <w:rFonts w:ascii="Calibri" w:cs="Calibri" w:eastAsia="Calibri" w:hAnsi="Calibri"/>
          <w:b w:val="1"/>
          <w:bCs w:val="1"/>
          <w:color w:val="102a43"/>
          <w:sz w:val="30"/>
          <w:szCs w:val="30"/>
          <w:rtl w:val="0"/>
        </w:rPr>
        <w:t xml:space="preserve">Autoevaluación personal</w:t>
      </w:r>
      <w:r w:rsidDel="00000000" w:rsidR="00000000" w:rsidRPr="00000000">
        <w:rPr>
          <w:rtl w:val="0"/>
        </w:rPr>
      </w:r>
    </w:p>
    <w:p w:rsidR="00000000" w:rsidDel="00000000" w:rsidP="00000000" w:rsidRDefault="00000000" w:rsidRPr="00000000" w14:paraId="00000158">
      <w:pPr>
        <w:spacing w:after="140" w:line="269" w:lineRule="auto"/>
        <w:jc w:val="both"/>
        <w:rPr>
          <w:rFonts w:ascii="Cambria" w:cs="Cambria" w:eastAsia="Cambria" w:hAnsi="Cambria"/>
          <w:sz w:val="22"/>
          <w:szCs w:val="22"/>
        </w:rPr>
      </w:pPr>
      <w:r w:rsidDel="00000000" w:rsidR="00000000" w:rsidRPr="00000000">
        <w:rPr>
          <w:rFonts w:ascii="Calibri" w:cs="Calibri" w:eastAsia="Calibri" w:hAnsi="Calibri"/>
          <w:color w:val="102a43"/>
          <w:rtl w:val="0"/>
        </w:rPr>
        <w:t xml:space="preserve">Considero que mi principal fortaleza ha sido transformar la idea inicial en una base funcional y asumir la coordinación técnica del equipo. He avanzado especialmente en desarrollo backend, scanners, reportes e integración. También he aprendido a reducir el alcance cuando una propuesta no puede sostenerse técnicamente y a distinguir entre un prototipo académico y un producto preparado para clientes reales.</w:t>
      </w:r>
      <w:r w:rsidDel="00000000" w:rsidR="00000000" w:rsidRPr="00000000">
        <w:rPr>
          <w:rtl w:val="0"/>
        </w:rPr>
      </w:r>
    </w:p>
    <w:p w:rsidR="00000000" w:rsidDel="00000000" w:rsidP="00000000" w:rsidRDefault="00000000" w:rsidRPr="00000000" w14:paraId="00000159">
      <w:pPr>
        <w:spacing w:after="140" w:line="269" w:lineRule="auto"/>
        <w:jc w:val="both"/>
        <w:rPr>
          <w:rFonts w:ascii="Cambria" w:cs="Cambria" w:eastAsia="Cambria" w:hAnsi="Cambria"/>
          <w:sz w:val="22"/>
          <w:szCs w:val="22"/>
        </w:rPr>
      </w:pPr>
      <w:r w:rsidDel="00000000" w:rsidR="00000000" w:rsidRPr="00000000">
        <w:rPr>
          <w:rFonts w:ascii="Calibri" w:cs="Calibri" w:eastAsia="Calibri" w:hAnsi="Calibri"/>
          <w:color w:val="102a43"/>
          <w:rtl w:val="0"/>
        </w:rPr>
        <w:t xml:space="preserve">Debo fortalecer el diseño formal de pruebas, la medición de precisión de los scanners, la seguridad de plataformas multiusuario, PostgreSQL avanzado, despliegue y documentación en inglés. Mi objetivo para las siguientes fases es que VulnHunter no solamente tenga una presentación profesional, sino que sus resultados sean reproducibles, sus limitaciones estén documentadas y su ejecución sea segura.</w:t>
      </w:r>
      <w:r w:rsidDel="00000000" w:rsidR="00000000" w:rsidRPr="00000000">
        <w:rPr>
          <w:rtl w:val="0"/>
        </w:rPr>
      </w:r>
    </w:p>
    <w:p w:rsidR="00000000" w:rsidDel="00000000" w:rsidP="00000000" w:rsidRDefault="00000000" w:rsidRPr="00000000" w14:paraId="0000015A">
      <w:pPr>
        <w:spacing w:after="120" w:before="200" w:lineRule="auto"/>
        <w:rPr>
          <w:rFonts w:ascii="Calibri" w:cs="Calibri" w:eastAsia="Calibri" w:hAnsi="Calibri"/>
          <w:b w:val="1"/>
          <w:bCs w:val="1"/>
          <w:color w:val="102a43"/>
          <w:sz w:val="30"/>
          <w:szCs w:val="30"/>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64748b"/>
        <w:sz w:val="16"/>
        <w:szCs w:val="16"/>
        <w:u w:val="none"/>
        <w:shd w:fill="auto" w:val="clear"/>
        <w:vertAlign w:val="baseline"/>
        <w:rtl w:val="0"/>
      </w:rPr>
      <w:t xml:space="preserve">Nicolás Maturana · Autoevaluación Fase 1 · VulnHunter</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RKLpBOcKKJj3m4+VPMtmrl+TUw==">CgMxLjA4AHIhMXBIRlJ5OE5wTWVJalU0LXRhRFJHOS0tbTBSODYzRzBy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Nicolás Maturana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