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BERKSHIRE HATHAWAY — Q2 2026 10-Q, INSURANCE SEGMENT EXCERPT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Berkshire Hathaway's insurance operations generated pre-tax underwriting earnings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 $2.18 billion in Q2 2026, down 14.0% year-over-year. The decline was driven 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GEICO, whose pre-tax underwriting income fell 45.4% YoY to $994 million.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Berkshire Hathaway Primary Group: pre-tax underwriting earnings of $273 million,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 from $63 million in Q2 2025.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P&amp;C Reinsurance: pre-tax underwriting earnings grew 8.9% year-over-year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$1.14 billion. Per the filing, this segment "offers excess-of-loss and quota-share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reinsurance coverages on property and casualty risks through the NICO, General 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and TransRe Groups" — reported as a single combined figure across all three units.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underwriting result, combined ratio, or premium figure is broken out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General Re individually anywhere in this disclosure.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Source: Berkshire Hathaway Inc. Form 10-Q, Q2 2026, and related coverage of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insurance segment results, published August 2026.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