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MUNICH RE — Q2 2026 RESULTS SUMMARY (investor update excerpt)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Munich Re reported second-quarter 2026 net profit of approximately €2.2 billion,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bringing first-half 2026 net income to about €3.9 billion — already more than 60%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of the full-year earnings target.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company reaffirmed its full-year 2026 net income target of €6.3 billion, while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trimming its 2026 reinsurance revenue guidance by €2 billion to €38 billion.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On April 1 treaty renewals, written volume fell 18.5% to €2.0 billion as Munich 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walked away from business that did not meet its pricing or terms thresholds.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CFO commentary: "Pricing remained favourable despite a softer April renewal."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Management attributed the strong first half to disciplined underwriting, strong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investment income, and broad earnings contributions across the business mix.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Source: Munich Re half-year 2026 financial report and related investor coverage,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published August 2026.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