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Alpha — Weekly Status Note</w:t>
      </w:r>
    </w:p>
    <w:p>
      <w:r>
        <w:t>Week ending: Friday 7 August 2026</w:t>
      </w:r>
    </w:p>
    <w:p>
      <w:r>
        <w:t>Prepared by: P. Chen, Programme Manager</w:t>
      </w:r>
    </w:p>
    <w:p>
      <w:r>
        <w:t>For: Project Alpha steering group (meets Thursday 13 August 2026)</w:t>
      </w:r>
    </w:p>
    <w:p>
      <w:r>
        <w:t>Overall status: Amber</w:t>
      </w:r>
    </w:p>
    <w:p>
      <w:pPr>
        <w:pStyle w:val="Heading2"/>
      </w:pPr>
      <w:r>
        <w:t>SCOPE REMINDER</w:t>
      </w:r>
    </w:p>
    <w:p>
      <w:r>
        <w:t>Project Alpha replaces the legacy treaty-layer pricing workbook with a supported Python platform, built by Halstead Data Systems. Forty treaties are in scope for the first release. Target go-live is 2 November 2026.</w:t>
      </w:r>
    </w:p>
    <w:p>
      <w:pPr>
        <w:pStyle w:val="Heading2"/>
      </w:pPr>
      <w:r>
        <w:t>WHERE WE ARE</w:t>
      </w:r>
    </w:p>
    <w:p>
      <w:r>
        <w:t>Parity testing is the critical path and it is the reason the status is amber. Halstead delivered the D4 parity report on 5 August. Of the forty treaties in scope, thirty-one now reconcile to the legacy workbook within the agreed tolerance of 0.5% on gross premium. The nine that do not are all casualty layers, which is consistent with what the treaty team has said for years about the legacy workbook — casualty results have never tied out cleanly and have been adjusted by hand.</w:t>
      </w:r>
    </w:p>
    <w:p>
      <w:r>
        <w:t>Data migration is close to done. Three of the four source extracts are loaded and validated. The fourth, the facultative binder history, is blocked on a schema question that has been sitting with D. Kim since 29 July.</w:t>
      </w:r>
    </w:p>
    <w:p>
      <w:r>
        <w:t>The UAT environment has not been handed over yet. Halstead have committed to hand it over on Monday 24 August, which leaves the six-week UAT window intact but with no float in it.</w:t>
      </w:r>
    </w:p>
    <w:p>
      <w:r>
        <w:t>Training and change is on track. A. Torres has scoped six sessions across the treaty and pricing teams, starting 5 October.</w:t>
      </w:r>
    </w:p>
    <w:p>
      <w:pPr>
        <w:pStyle w:val="Heading2"/>
      </w:pPr>
      <w:r>
        <w:t>WHAT MOVED THIS WEEK</w:t>
      </w:r>
    </w:p>
    <w:p>
      <w:pPr>
        <w:pStyle w:val="ListBullet"/>
      </w:pPr>
      <w:r>
        <w:t>D4 parity report delivered by Halstead, one day ahead of the contracted date.</w:t>
      </w:r>
    </w:p>
    <w:p>
      <w:pPr>
        <w:pStyle w:val="ListBullet"/>
      </w:pPr>
      <w:r>
        <w:t>Two of the nine casualty exceptions were traced to the legacy trending basis rather than to the new engine.</w:t>
      </w:r>
    </w:p>
    <w:p>
      <w:pPr>
        <w:pStyle w:val="ListBullet"/>
      </w:pPr>
      <w:r>
        <w:t>Third source extract loaded and signed off by S. Okafor.</w:t>
      </w:r>
    </w:p>
    <w:p>
      <w:pPr>
        <w:pStyle w:val="Heading2"/>
      </w:pPr>
      <w:r>
        <w:t>WHAT NEEDS A DECISION</w:t>
      </w:r>
    </w:p>
    <w:p>
      <w:r>
        <w:t>The nine casualty exceptions need a call from the steering group and it should not wait until September. Either we accept that the new platform reproduces the legacy manual adjustment, or we treat the legacy behaviour as a defect and price casualty layers differently from 2 November. That is a business decision, not an engineering one, and Halstead cannot size the remaining work until it is made.</w:t>
      </w:r>
    </w:p>
    <w:p>
      <w:pPr>
        <w:pStyle w:val="Heading2"/>
      </w:pPr>
      <w:r>
        <w:t>BUDGET</w:t>
      </w:r>
    </w:p>
    <w:p>
      <w:r>
        <w:t>$1,420,000 approved. $960,000 committed to date. No change this week and no forecast overrun, subject to the casualty decision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