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Alpha — Open Items List</w:t>
      </w:r>
    </w:p>
    <w:p>
      <w:r>
        <w:t>Maintained by: P. Chen, Programme Manager</w:t>
      </w:r>
    </w:p>
    <w:p>
      <w:r>
        <w:t>As at: Friday 7 August 2026</w:t>
      </w:r>
    </w:p>
    <w:p>
      <w:r>
        <w:t>Reviewed weekly. Closed items are dropped from this list at the end of each month.</w:t>
      </w:r>
    </w:p>
    <w:p>
      <w:pPr>
        <w:pStyle w:val="Heading2"/>
      </w:pPr>
      <w:r>
        <w:t>OPEN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Raised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A-11</w:t>
            </w:r>
          </w:p>
        </w:tc>
        <w:tc>
          <w:tcPr>
            <w:tcW w:type="dxa" w:w="1440"/>
          </w:tcPr>
          <w:p>
            <w:r>
              <w:t>Steering decision on the nine casualty parity exceptions: reproduce the legacy manual adjustment, or price casualty correctly from go-live</w:t>
            </w:r>
          </w:p>
        </w:tc>
        <w:tc>
          <w:tcPr>
            <w:tcW w:type="dxa" w:w="1440"/>
          </w:tcPr>
          <w:p>
            <w:r>
              <w:t>Steering group</w:t>
            </w:r>
          </w:p>
        </w:tc>
        <w:tc>
          <w:tcPr>
            <w:tcW w:type="dxa" w:w="1440"/>
          </w:tcPr>
          <w:p>
            <w:r>
              <w:t>5 Aug</w:t>
            </w:r>
          </w:p>
        </w:tc>
        <w:tc>
          <w:tcPr>
            <w:tcW w:type="dxa" w:w="1440"/>
          </w:tcPr>
          <w:p>
            <w:r>
              <w:t>13 Aug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A-12</w:t>
            </w:r>
          </w:p>
        </w:tc>
        <w:tc>
          <w:tcPr>
            <w:tcW w:type="dxa" w:w="1440"/>
          </w:tcPr>
          <w:p>
            <w:r>
              <w:t>Facultative binder history — answer Halstead's schema question so the fourth extract can be loaded</w:t>
            </w:r>
          </w:p>
        </w:tc>
        <w:tc>
          <w:tcPr>
            <w:tcW w:type="dxa" w:w="1440"/>
          </w:tcPr>
          <w:p>
            <w:r>
              <w:t>D. Kim</w:t>
            </w:r>
          </w:p>
        </w:tc>
        <w:tc>
          <w:tcPr>
            <w:tcW w:type="dxa" w:w="1440"/>
          </w:tcPr>
          <w:p>
            <w:r>
              <w:t>29 Jul</w:t>
            </w:r>
          </w:p>
        </w:tc>
        <w:tc>
          <w:tcPr>
            <w:tcW w:type="dxa" w:w="1440"/>
          </w:tcPr>
          <w:p>
            <w:r>
              <w:t>Overdue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A-14</w:t>
            </w:r>
          </w:p>
        </w:tc>
        <w:tc>
          <w:tcPr>
            <w:tcW w:type="dxa" w:w="1440"/>
          </w:tcPr>
          <w:p>
            <w:r>
              <w:t>Hand over the UAT environment to the Gen Re team</w:t>
            </w:r>
          </w:p>
        </w:tc>
        <w:tc>
          <w:tcPr>
            <w:tcW w:type="dxa" w:w="1440"/>
          </w:tcPr>
          <w:p>
            <w:r>
              <w:t>M. Ferreira (Halstead)</w:t>
            </w:r>
          </w:p>
        </w:tc>
        <w:tc>
          <w:tcPr>
            <w:tcW w:type="dxa" w:w="1440"/>
          </w:tcPr>
          <w:p>
            <w:r>
              <w:t>22 Jul</w:t>
            </w:r>
          </w:p>
        </w:tc>
        <w:tc>
          <w:tcPr>
            <w:tcW w:type="dxa" w:w="1440"/>
          </w:tcPr>
          <w:p>
            <w:r>
              <w:t>24 Aug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A-15</w:t>
            </w:r>
          </w:p>
        </w:tc>
        <w:tc>
          <w:tcPr>
            <w:tcW w:type="dxa" w:w="1440"/>
          </w:tcPr>
          <w:p>
            <w:r>
              <w:t>Trace the remaining seven casualty exceptions to a root cause</w:t>
            </w:r>
          </w:p>
        </w:tc>
        <w:tc>
          <w:tcPr>
            <w:tcW w:type="dxa" w:w="1440"/>
          </w:tcPr>
          <w:p>
            <w:r>
              <w:t>Halstead engineering</w:t>
            </w:r>
          </w:p>
        </w:tc>
        <w:tc>
          <w:tcPr>
            <w:tcW w:type="dxa" w:w="1440"/>
          </w:tcPr>
          <w:p>
            <w:r>
              <w:t>5 Aug</w:t>
            </w:r>
          </w:p>
        </w:tc>
        <w:tc>
          <w:tcPr>
            <w:tcW w:type="dxa" w:w="1440"/>
          </w:tcPr>
          <w:p>
            <w:r>
              <w:t>28 Aug</w:t>
            </w:r>
          </w:p>
        </w:tc>
        <w:tc>
          <w:tcPr>
            <w:tcW w:type="dxa" w:w="1440"/>
          </w:tcPr>
          <w:p>
            <w:r>
              <w:t>In progress</w:t>
            </w:r>
          </w:p>
        </w:tc>
      </w:tr>
      <w:tr>
        <w:tc>
          <w:tcPr>
            <w:tcW w:type="dxa" w:w="1440"/>
          </w:tcPr>
          <w:p>
            <w:r>
              <w:t>A-16</w:t>
            </w:r>
          </w:p>
        </w:tc>
        <w:tc>
          <w:tcPr>
            <w:tcW w:type="dxa" w:w="1440"/>
          </w:tcPr>
          <w:p>
            <w:r>
              <w:t>Confirm UAT participants and release them from BAU for the six-week window</w:t>
            </w:r>
          </w:p>
        </w:tc>
        <w:tc>
          <w:tcPr>
            <w:tcW w:type="dxa" w:w="1440"/>
          </w:tcPr>
          <w:p>
            <w:r>
              <w:t>R. Vega</w:t>
            </w:r>
          </w:p>
        </w:tc>
        <w:tc>
          <w:tcPr>
            <w:tcW w:type="dxa" w:w="1440"/>
          </w:tcPr>
          <w:p>
            <w:r>
              <w:t>24 Jul</w:t>
            </w:r>
          </w:p>
        </w:tc>
        <w:tc>
          <w:tcPr>
            <w:tcW w:type="dxa" w:w="1440"/>
          </w:tcPr>
          <w:p>
            <w:r>
              <w:t>21 Aug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A-17</w:t>
            </w:r>
          </w:p>
        </w:tc>
        <w:tc>
          <w:tcPr>
            <w:tcW w:type="dxa" w:w="1440"/>
          </w:tcPr>
          <w:p>
            <w:r>
              <w:t>Agree the cutover weekend and the fallback position if parity is not signed off</w:t>
            </w:r>
          </w:p>
        </w:tc>
        <w:tc>
          <w:tcPr>
            <w:tcW w:type="dxa" w:w="1440"/>
          </w:tcPr>
          <w:p>
            <w:r>
              <w:t>P. Chen</w:t>
            </w:r>
          </w:p>
        </w:tc>
        <w:tc>
          <w:tcPr>
            <w:tcW w:type="dxa" w:w="1440"/>
          </w:tcPr>
          <w:p>
            <w:r>
              <w:t>31 Jul</w:t>
            </w:r>
          </w:p>
        </w:tc>
        <w:tc>
          <w:tcPr>
            <w:tcW w:type="dxa" w:w="1440"/>
          </w:tcPr>
          <w:p>
            <w:r>
              <w:t>4 Sep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A-18</w:t>
            </w:r>
          </w:p>
        </w:tc>
        <w:tc>
          <w:tcPr>
            <w:tcW w:type="dxa" w:w="1440"/>
          </w:tcPr>
          <w:p>
            <w:r>
              <w:t>Book the six training sessions and circulate dates to the treaty and pricing teams</w:t>
            </w:r>
          </w:p>
        </w:tc>
        <w:tc>
          <w:tcPr>
            <w:tcW w:type="dxa" w:w="1440"/>
          </w:tcPr>
          <w:p>
            <w:r>
              <w:t>A. Torres</w:t>
            </w:r>
          </w:p>
        </w:tc>
        <w:tc>
          <w:tcPr>
            <w:tcW w:type="dxa" w:w="1440"/>
          </w:tcPr>
          <w:p>
            <w:r>
              <w:t>31 Jul</w:t>
            </w:r>
          </w:p>
        </w:tc>
        <w:tc>
          <w:tcPr>
            <w:tcW w:type="dxa" w:w="1440"/>
          </w:tcPr>
          <w:p>
            <w:r>
              <w:t>11 Sep</w:t>
            </w:r>
          </w:p>
        </w:tc>
        <w:tc>
          <w:tcPr>
            <w:tcW w:type="dxa" w:w="1440"/>
          </w:tcPr>
          <w:p>
            <w:r>
              <w:t>In progress</w:t>
            </w:r>
          </w:p>
        </w:tc>
      </w:tr>
      <w:tr>
        <w:tc>
          <w:tcPr>
            <w:tcW w:type="dxa" w:w="1440"/>
          </w:tcPr>
          <w:p>
            <w:r>
              <w:t>A-19</w:t>
            </w:r>
          </w:p>
        </w:tc>
        <w:tc>
          <w:tcPr>
            <w:tcW w:type="dxa" w:w="1440"/>
          </w:tcPr>
          <w:p>
            <w:r>
              <w:t>Decide whether the legacy workbook stays available read-only after go-live, and for how long</w:t>
            </w:r>
          </w:p>
        </w:tc>
        <w:tc>
          <w:tcPr>
            <w:tcW w:type="dxa" w:w="1440"/>
          </w:tcPr>
          <w:p>
            <w:r>
              <w:t>R. Vega</w:t>
            </w:r>
          </w:p>
        </w:tc>
        <w:tc>
          <w:tcPr>
            <w:tcW w:type="dxa" w:w="1440"/>
          </w:tcPr>
          <w:p>
            <w:r>
              <w:t>5 Aug</w:t>
            </w:r>
          </w:p>
        </w:tc>
        <w:tc>
          <w:tcPr>
            <w:tcW w:type="dxa" w:w="1440"/>
          </w:tcPr>
          <w:p>
            <w:r>
              <w:t>18 Sep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A-20</w:t>
            </w:r>
          </w:p>
        </w:tc>
        <w:tc>
          <w:tcPr>
            <w:tcW w:type="dxa" w:w="1440"/>
          </w:tcPr>
          <w:p>
            <w:r>
              <w:t>Sign off the migrated aggregate monitoring extract</w:t>
            </w:r>
          </w:p>
        </w:tc>
        <w:tc>
          <w:tcPr>
            <w:tcW w:type="dxa" w:w="1440"/>
          </w:tcPr>
          <w:p>
            <w:r>
              <w:t>S. Okafor</w:t>
            </w:r>
          </w:p>
        </w:tc>
        <w:tc>
          <w:tcPr>
            <w:tcW w:type="dxa" w:w="1440"/>
          </w:tcPr>
          <w:p>
            <w:r>
              <w:t>7 Aug</w:t>
            </w:r>
          </w:p>
        </w:tc>
        <w:tc>
          <w:tcPr>
            <w:tcW w:type="dxa" w:w="1440"/>
          </w:tcPr>
          <w:p>
            <w:r>
              <w:t>21 Aug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t>A-12 is the only overdue item on the list. It is a small question but the fourth extract cannot be loaded without an answer, and that extract is needed for UAT data.</w:t>
      </w:r>
    </w:p>
    <w:p>
      <w:pPr>
        <w:pStyle w:val="ListBullet"/>
      </w:pPr>
      <w:r>
        <w:t>A-11 drives A-15. Halstead cannot size the remaining parity work until the steering group has decided, so the 28 August date on A-15 assumes a decision on 13 August.</w:t>
      </w:r>
    </w:p>
    <w:p>
      <w:pPr>
        <w:pStyle w:val="ListBullet"/>
      </w:pPr>
      <w:r>
        <w:t>A-14 has no float behind it. The UAT window is six weeks and the go-live date of 2 November has not moved.</w:t>
      </w:r>
    </w:p>
    <w:p>
      <w:pPr>
        <w:pStyle w:val="ListBullet"/>
      </w:pPr>
      <w:r>
        <w:t>Nothing on this list is currently forecast to breach the budget of $1,420,000.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