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Quarterly run notes - Treaty Layer Pricer</w:t>
      </w:r>
    </w:p>
    <w:p>
      <w:r>
        <w:rPr>
          <w:i/>
          <w:color w:val="993333"/>
          <w:sz w:val="18"/>
        </w:rPr>
        <w:t>FICTIONAL TRAINING SAMPLE - not a real Gen Re system, person, or record. Created for the Cowork Workshop 2 solution-profile demo. Do not reuse outside training.</w:t>
      </w:r>
    </w:p>
    <w:p>
      <w:r>
        <w:t>Kept by the P&amp;C treaty pricing analysts. Last touched this quarter, as always, in a hurry. If you are new: read the whole thing before you run anything.</w:t>
      </w:r>
    </w:p>
    <w:p>
      <w:pPr>
        <w:pStyle w:val="Heading2"/>
      </w:pPr>
      <w:r>
        <w:t>Where things live</w:t>
      </w:r>
    </w:p>
    <w:p>
      <w:pPr>
        <w:pStyle w:val="ListBullet"/>
      </w:pPr>
      <w:r>
        <w:t>Workbook: S:\Pricing\Treaty\Tools\TreatyLayerPricer_v7_FINAL(2).xlsm  (ignore v6 and "v7_FINAL" without the "(2)" - wrong versions, nobody has dared delete them)</w:t>
      </w:r>
    </w:p>
    <w:p>
      <w:pPr>
        <w:pStyle w:val="ListBullet"/>
      </w:pPr>
      <w:r>
        <w:t>Cedent loss runs arrive as bordereaux on the BDX intake share after ops has cleaned them: S:\Pricing\Treaty\BDX-clean\&lt;cedent&gt;\&lt;quarter&gt;\</w:t>
      </w:r>
    </w:p>
    <w:p>
      <w:pPr>
        <w:pStyle w:val="ListBullet"/>
      </w:pPr>
      <w:r>
        <w:t>Output goes into the pricing memo template (Word), which goes to the pricing committee by email. Nothing feeds anywhere automatically.</w:t>
      </w:r>
    </w:p>
    <w:p>
      <w:pPr>
        <w:pStyle w:val="Heading2"/>
      </w:pPr>
      <w:r>
        <w:t>The quarterly run, per treaty (about 40 a quarter)</w:t>
      </w:r>
    </w:p>
    <w:p>
      <w:pPr>
        <w:pStyle w:val="ListNumber"/>
      </w:pPr>
      <w:r>
        <w:t>Pull the cleaned loss run from the BDX share. Check the loss-year column is four-digit years - ops sometimes leaves two-digit years and the macro doesn't care, it just produces nonsense trending.</w:t>
      </w:r>
    </w:p>
    <w:p>
      <w:pPr>
        <w:pStyle w:val="ListNumber"/>
      </w:pPr>
      <w:r>
        <w:t>Paste the loss run into the LossRun tab starting at row 2.</w:t>
      </w:r>
    </w:p>
    <w:p>
      <w:pPr>
        <w:pStyle w:val="ListNumber"/>
      </w:pPr>
      <w:r>
        <w:t>Update the row count in LossRun!B1 by hand. Yes, by hand. If you forget, the macro prices on last quarter's row count. This has happened.</w:t>
      </w:r>
    </w:p>
    <w:p>
      <w:pPr>
        <w:pStyle w:val="ListNumber"/>
      </w:pPr>
      <w:r>
        <w:t>Enter layer terms on Inputs from the submission: attachment in B2, limit in B3 (and again in B4 - see quirks), years of experience in B5.</w:t>
      </w:r>
    </w:p>
    <w:p>
      <w:pPr>
        <w:pStyle w:val="ListNumber"/>
      </w:pPr>
      <w:r>
        <w:t>Run PriceLayer from the macro menu. Takes a few seconds.</w:t>
      </w:r>
    </w:p>
    <w:p>
      <w:pPr>
        <w:pStyle w:val="ListNumber"/>
      </w:pPr>
      <w:r>
        <w:t>Copy Results!B2 (expected layer loss) and Results!B3 (rate on line) into the pricing memo. Sense-check against last year's memo before sending.</w:t>
      </w:r>
    </w:p>
    <w:p>
      <w:pPr>
        <w:pStyle w:val="ListNumber"/>
      </w:pPr>
      <w:r>
        <w:t>Email the memo to the pricing committee mailbox. File a copy in the treaty folder.</w:t>
      </w:r>
    </w:p>
    <w:p>
      <w:pPr>
        <w:pStyle w:val="Heading2"/>
      </w:pPr>
      <w:r>
        <w:t>Quirks the team knows about (and works around)</w:t>
      </w:r>
    </w:p>
    <w:p>
      <w:pPr>
        <w:pStyle w:val="ListBullet"/>
      </w:pPr>
      <w:r>
        <w:t>Casualty layers never quite tie out. The trended totals look light versus the actuarial view, so for casualty we adjust the result by hand in the memo (not in the workbook) with a note. Nobody has ever written down why.</w:t>
      </w:r>
    </w:p>
    <w:p>
      <w:pPr>
        <w:pStyle w:val="ListBullet"/>
      </w:pPr>
      <w:r>
        <w:t>The limit is entered twice on Inputs (B3 for the layer maths, B4 for rate on line). If they disagree, nothing warns you.</w:t>
      </w:r>
    </w:p>
    <w:p>
      <w:pPr>
        <w:pStyle w:val="ListBullet"/>
      </w:pPr>
      <w:r>
        <w:t>The Factors tab is touched once a year when actuarial sends the update. One LDF for all years. The annual trend is NOT on the Factors tab - it is hardcoded in the macro and has not moved since 2019.</w:t>
      </w:r>
    </w:p>
    <w:p>
      <w:pPr>
        <w:pStyle w:val="ListBullet"/>
      </w:pPr>
      <w:r>
        <w:t>Do not re-run PriceLayer twice without re-pasting the loss run. No known reason; ritual inherited from the original author.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