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Cedent Treaty Submission — Pinnacle Mutual Insurance Company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Program summary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Field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Detail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Cedent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Pinnacle Mutual Insurance Company (regional P&amp;C mutual, est. 1961)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Line of business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Commercial General Liability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Program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General Liability Excess of Loss — </w:t>
      </w:r>
      <w:r>
        <w:rPr>
          <w:rFonts w:ascii="Times" w:hAnsi="Times" w:cs="Times"/>
          <w:sz w:val="24"/>
          <w:sz-cs w:val="24"/>
          <w:b/>
          <w:spacing w:val="0"/>
        </w:rPr>
        <w:t xml:space="preserve">$2M xs $1M</w:t>
      </w:r>
      <w:r>
        <w:rPr>
          <w:rFonts w:ascii="Times" w:hAnsi="Times" w:cs="Times"/>
          <w:sz w:val="24"/>
          <w:sz-cs w:val="24"/>
          <w:spacing w:val="0"/>
        </w:rPr>
        <w:t xml:space="preserve"> per occurrence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Aggregate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$6M annual aggregate to the layer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Basis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Losses-occurring, 12-month term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Reinstatements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One, at 100% additional premium, pro rata as to time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Requested inception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Within 45 days (1 Jan renewal)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Client manager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J. Alvarez, Treaty — P&amp;C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Existing relationship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Ceded to Gen Re on this program since 2019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Cedent profile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Regional commercial-lines mutual serving the Pacific Northwest and Mountain West. Writes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predominantly small and mid-market General Liability, with some Commercial Auto and Property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(not part of this submission). A.M. Best </w:t>
      </w:r>
      <w:r>
        <w:rPr>
          <w:rFonts w:ascii="Times" w:hAnsi="Times" w:cs="Times"/>
          <w:sz w:val="24"/>
          <w:sz-cs w:val="24"/>
          <w:b/>
          <w:spacing w:val="0"/>
        </w:rPr>
        <w:t xml:space="preserve">A- (Excellent)</w:t>
      </w:r>
      <w:r>
        <w:rPr>
          <w:rFonts w:ascii="Times" w:hAnsi="Times" w:cs="Times"/>
          <w:sz w:val="24"/>
          <w:sz-cs w:val="24"/>
          <w:spacing w:val="0"/>
        </w:rPr>
        <w:t xml:space="preserve">, policyholder surplus ~$310M.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</w:t>
      </w:r>
      <w:r>
        <w:rPr>
          <w:rFonts w:ascii="Times" w:hAnsi="Times" w:cs="Times"/>
          <w:sz w:val="24"/>
          <w:sz-cs w:val="24"/>
          <w:b/>
          <w:spacing w:val="0"/>
        </w:rPr>
        <w:t xml:space="preserve">Lines in this submission:</w:t>
      </w:r>
      <w:r>
        <w:rPr>
          <w:rFonts w:ascii="Times" w:hAnsi="Times" w:cs="Times"/>
          <w:sz w:val="24"/>
          <w:sz-cs w:val="24"/>
          <w:spacing w:val="0"/>
        </w:rPr>
        <w:t xml:space="preserve"> Commercial General Liability (NAICS-mixed commercial risks)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</w:t>
      </w:r>
      <w:r>
        <w:rPr>
          <w:rFonts w:ascii="Times" w:hAnsi="Times" w:cs="Times"/>
          <w:sz w:val="24"/>
          <w:sz-cs w:val="24"/>
          <w:b/>
          <w:spacing w:val="0"/>
        </w:rPr>
        <w:t xml:space="preserve">HQ:</w:t>
      </w:r>
      <w:r>
        <w:rPr>
          <w:rFonts w:ascii="Times" w:hAnsi="Times" w:cs="Times"/>
          <w:sz w:val="24"/>
          <w:sz-cs w:val="24"/>
          <w:spacing w:val="0"/>
        </w:rPr>
        <w:t xml:space="preserve"> Portland, OR; underwriting offices in Boise and Salt Lake City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</w:t>
      </w:r>
      <w:r>
        <w:rPr>
          <w:rFonts w:ascii="Times" w:hAnsi="Times" w:cs="Times"/>
          <w:sz w:val="24"/>
          <w:sz-cs w:val="24"/>
          <w:b/>
          <w:spacing w:val="0"/>
        </w:rPr>
        <w:t xml:space="preserve">Management:</w:t>
      </w:r>
      <w:r>
        <w:rPr>
          <w:rFonts w:ascii="Times" w:hAnsi="Times" w:cs="Times"/>
          <w:sz w:val="24"/>
          <w:sz-cs w:val="24"/>
          <w:spacing w:val="0"/>
        </w:rPr>
        <w:t xml:space="preserve"> Chief Underwriting Officer 24 yrs experience; Chief Actuary hired 8 months ago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Subject premium &amp; experience (underwriting years, layer = $2M xs $1M)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($000s)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UY2021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UY2022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UY2023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UY2024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UY2025 (interim, as-of Sep 30)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Subject GL premium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39,800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42,600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44,900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46,300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48,000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Ceded premium to layer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3,180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3,410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3,590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3,700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3,840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Incurred losses to layer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1,840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2,050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2,360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2,590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2,720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Loss ratio to layer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57.9%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60.1%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65.7%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70.0%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70.8%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Note: UY2025 figures are </w:t>
      </w:r>
      <w:r>
        <w:rPr>
          <w:rFonts w:ascii="Times" w:hAnsi="Times" w:cs="Times"/>
          <w:sz w:val="24"/>
          <w:sz-cs w:val="24"/>
          <w:b/>
          <w:i/>
          <w:spacing w:val="0"/>
        </w:rPr>
        <w:t xml:space="preserve">interim</w:t>
      </w:r>
      <w:r>
        <w:rPr>
          <w:rFonts w:ascii="Times" w:hAnsi="Times" w:cs="Times"/>
          <w:sz w:val="24"/>
          <w:sz-cs w:val="24"/>
          <w:i/>
          <w:spacing w:val="0"/>
        </w:rPr>
        <w:t xml:space="preserve"> (bordereau as of Sep 30, with case reserves only, no IBNR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development applied). Audited year-end bordereau is </w:t>
      </w:r>
      <w:r>
        <w:rPr>
          <w:rFonts w:ascii="Times" w:hAnsi="Times" w:cs="Times"/>
          <w:sz w:val="24"/>
          <w:sz-cs w:val="24"/>
          <w:b/>
          <w:i/>
          <w:spacing w:val="0"/>
        </w:rPr>
        <w:t xml:space="preserve">not yet available</w:t>
      </w:r>
      <w:r>
        <w:rPr>
          <w:rFonts w:ascii="Times" w:hAnsi="Times" w:cs="Times"/>
          <w:sz w:val="24"/>
          <w:sz-cs w:val="24"/>
          <w:i/>
          <w:spacing w:val="0"/>
        </w:rPr>
        <w:t xml:space="preserve"> — most recent audited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statement year is UY2024.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Exposure profile (UY2025 subject premium by state)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State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Share of subject premium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California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Texas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Oregon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Washington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Idaho / Utah / other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38%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Two states (CA + TX) together represent </w:t>
      </w:r>
      <w:r>
        <w:rPr>
          <w:rFonts w:ascii="Times" w:hAnsi="Times" w:cs="Times"/>
          <w:sz w:val="24"/>
          <w:sz-cs w:val="24"/>
          <w:b/>
          <w:spacing w:val="0"/>
        </w:rPr>
        <w:t xml:space="preserve">~38% of subject premium</w:t>
      </w:r>
      <w:r>
        <w:rPr>
          <w:rFonts w:ascii="Times" w:hAnsi="Times" w:cs="Times"/>
          <w:sz w:val="24"/>
          <w:sz-cs w:val="24"/>
          <w:spacing w:val="0"/>
        </w:rPr>
        <w:t xml:space="preserve">; largest single state ≈ 24%.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Class mix is weighted to contracting, habitational, and light manufacturing GL.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Rate adequacy (to the layer)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Ceded premium (UY2025)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$3,840K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Rate on line (ceded prem ÷ $2M limit)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8.0%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5-year weighted loss ratio to layer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65.1%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Target loss ratio to layer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≤ 65%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Latest-year loss ratio (interim)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70.8%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Large-loss detail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Loss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Layer incurred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Basis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UY2024 bodily-injury claim (single occurrence)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$2,000K (full limit)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Case reserve; in litigation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UY2023 premises-liability claim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$780K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Settled Aug 2025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Attritional (all other, UY2021–2025)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remainder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Bordereau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single UY2024 BI claim drove </w:t>
      </w:r>
      <w:r>
        <w:rPr>
          <w:rFonts w:ascii="Times" w:hAnsi="Times" w:cs="Times"/>
          <w:sz w:val="24"/>
          <w:sz-cs w:val="24"/>
          <w:b/>
          <w:spacing w:val="0"/>
        </w:rPr>
        <w:t xml:space="preserve">~30% of that year's incurred to the layer</w:t>
      </w:r>
      <w:r>
        <w:rPr>
          <w:rFonts w:ascii="Times" w:hAnsi="Times" w:cs="Times"/>
          <w:sz w:val="24"/>
          <w:sz-cs w:val="24"/>
          <w:spacing w:val="0"/>
        </w:rPr>
        <w:t xml:space="preserve"> and is the main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reason the loss ratio stepped up. It is a first-position, full-limit loss.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Security &amp; financial standing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</w:t>
      </w:r>
      <w:r>
        <w:rPr>
          <w:rFonts w:ascii="Times" w:hAnsi="Times" w:cs="Times"/>
          <w:sz w:val="24"/>
          <w:sz-cs w:val="24"/>
          <w:b/>
          <w:spacing w:val="0"/>
        </w:rPr>
        <w:t xml:space="preserve">Cedent rating:</w:t>
      </w:r>
      <w:r>
        <w:rPr>
          <w:rFonts w:ascii="Times" w:hAnsi="Times" w:cs="Times"/>
          <w:sz w:val="24"/>
          <w:sz-cs w:val="24"/>
          <w:spacing w:val="0"/>
        </w:rPr>
        <w:t xml:space="preserve"> A.M. Best </w:t>
      </w:r>
      <w:r>
        <w:rPr>
          <w:rFonts w:ascii="Times" w:hAnsi="Times" w:cs="Times"/>
          <w:sz w:val="24"/>
          <w:sz-cs w:val="24"/>
          <w:b/>
          <w:spacing w:val="0"/>
        </w:rPr>
        <w:t xml:space="preserve">A- (Excellent)</w:t>
      </w:r>
      <w:r>
        <w:rPr>
          <w:rFonts w:ascii="Times" w:hAnsi="Times" w:cs="Times"/>
          <w:sz w:val="24"/>
          <w:sz-cs w:val="24"/>
          <w:spacing w:val="0"/>
        </w:rPr>
        <w:t xml:space="preserve">, affirmed May 2025.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</w:t>
      </w:r>
      <w:r>
        <w:rPr>
          <w:rFonts w:ascii="Times" w:hAnsi="Times" w:cs="Times"/>
          <w:sz w:val="24"/>
          <w:sz-cs w:val="24"/>
          <w:b/>
          <w:spacing w:val="0"/>
        </w:rPr>
        <w:t xml:space="preserve">Policyholder surplus:</w:t>
      </w:r>
      <w:r>
        <w:rPr>
          <w:rFonts w:ascii="Times" w:hAnsi="Times" w:cs="Times"/>
          <w:sz w:val="24"/>
          <w:sz-cs w:val="24"/>
          <w:spacing w:val="0"/>
        </w:rPr>
        <w:t xml:space="preserve"> ~$310M; net premium-to-surplus ~0.9x.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No collateral or funds-withheld requested; standard treaty security terms.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Terms &amp; conditions (proposed)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Attachment </w:t>
      </w:r>
      <w:r>
        <w:rPr>
          <w:rFonts w:ascii="Times" w:hAnsi="Times" w:cs="Times"/>
          <w:sz w:val="24"/>
          <w:sz-cs w:val="24"/>
          <w:b/>
          <w:spacing w:val="0"/>
        </w:rPr>
        <w:t xml:space="preserve">$1M</w:t>
      </w:r>
      <w:r>
        <w:rPr>
          <w:rFonts w:ascii="Times" w:hAnsi="Times" w:cs="Times"/>
          <w:sz w:val="24"/>
          <w:sz-cs w:val="24"/>
          <w:spacing w:val="0"/>
        </w:rPr>
        <w:t xml:space="preserve">, limit </w:t>
      </w:r>
      <w:r>
        <w:rPr>
          <w:rFonts w:ascii="Times" w:hAnsi="Times" w:cs="Times"/>
          <w:sz w:val="24"/>
          <w:sz-cs w:val="24"/>
          <w:b/>
          <w:spacing w:val="0"/>
        </w:rPr>
        <w:t xml:space="preserve">$2M</w:t>
      </w:r>
      <w:r>
        <w:rPr>
          <w:rFonts w:ascii="Times" w:hAnsi="Times" w:cs="Times"/>
          <w:sz w:val="24"/>
          <w:sz-cs w:val="24"/>
          <w:spacing w:val="0"/>
        </w:rPr>
        <w:t xml:space="preserve"> per occurrence; </w:t>
      </w:r>
      <w:r>
        <w:rPr>
          <w:rFonts w:ascii="Times" w:hAnsi="Times" w:cs="Times"/>
          <w:sz w:val="24"/>
          <w:sz-cs w:val="24"/>
          <w:b/>
          <w:spacing w:val="0"/>
        </w:rPr>
        <w:t xml:space="preserve">$6M</w:t>
      </w:r>
      <w:r>
        <w:rPr>
          <w:rFonts w:ascii="Times" w:hAnsi="Times" w:cs="Times"/>
          <w:sz w:val="24"/>
          <w:sz-cs w:val="24"/>
          <w:spacing w:val="0"/>
        </w:rPr>
        <w:t xml:space="preserve"> annual aggregate.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</w:t>
      </w:r>
      <w:r>
        <w:rPr>
          <w:rFonts w:ascii="Times" w:hAnsi="Times" w:cs="Times"/>
          <w:sz w:val="24"/>
          <w:sz-cs w:val="24"/>
          <w:b/>
          <w:spacing w:val="0"/>
        </w:rPr>
        <w:t xml:space="preserve">One reinstatement</w:t>
      </w:r>
      <w:r>
        <w:rPr>
          <w:rFonts w:ascii="Times" w:hAnsi="Times" w:cs="Times"/>
          <w:sz w:val="24"/>
          <w:sz-cs w:val="24"/>
          <w:spacing w:val="0"/>
        </w:rPr>
        <w:t xml:space="preserve"> at 100% additional premium.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Ceded rate on line </w:t>
      </w:r>
      <w:r>
        <w:rPr>
          <w:rFonts w:ascii="Times" w:hAnsi="Times" w:cs="Times"/>
          <w:sz w:val="24"/>
          <w:sz-cs w:val="24"/>
          <w:b/>
          <w:spacing w:val="0"/>
        </w:rPr>
        <w:t xml:space="preserve">8.0%</w:t>
      </w:r>
      <w:r>
        <w:rPr>
          <w:rFonts w:ascii="Times" w:hAnsi="Times" w:cs="Times"/>
          <w:sz w:val="24"/>
          <w:sz-cs w:val="24"/>
          <w:spacing w:val="0"/>
        </w:rPr>
        <w:t xml:space="preserve"> (UY2025 basis).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Claims reporting: quarterly bordereau within 60 days of quarter end; large-loss advices within 30 days.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Sunset clause: 84 months.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Relationship &amp; notes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On this program with Gen Re since 2019; generally clean and timely bordereau history.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</w:t>
      </w:r>
      <w:r>
        <w:rPr>
          <w:rFonts w:ascii="Times" w:hAnsi="Times" w:cs="Times"/>
          <w:sz w:val="24"/>
          <w:sz-cs w:val="24"/>
          <w:b/>
          <w:spacing w:val="0"/>
        </w:rPr>
        <w:t xml:space="preserve">One late bordereau</w:t>
      </w:r>
      <w:r>
        <w:rPr>
          <w:rFonts w:ascii="Times" w:hAnsi="Times" w:cs="Times"/>
          <w:sz w:val="24"/>
          <w:sz-cs w:val="24"/>
          <w:spacing w:val="0"/>
        </w:rPr>
        <w:t xml:space="preserve"> (11 days) in early 2024, attributed to a policy-admin system migration; timely since.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Reserve restatement:</w:t>
      </w:r>
      <w:r>
        <w:rPr>
          <w:rFonts w:ascii="Times" w:hAnsi="Times" w:cs="Times"/>
          <w:sz w:val="24"/>
          <w:sz-cs w:val="24"/>
          <w:spacing w:val="0"/>
        </w:rPr>
        <w:t xml:space="preserve"> the new Chief Actuary strengthened UY2022–2023 case reserves by ~$180K in mid-2025.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</w:t>
      </w:r>
      <w:r>
        <w:rPr>
          <w:rFonts w:ascii="Times" w:hAnsi="Times" w:cs="Times"/>
          <w:sz w:val="24"/>
          <w:sz-cs w:val="24"/>
          <w:b/>
          <w:spacing w:val="0"/>
        </w:rPr>
        <w:t xml:space="preserve">Coverage dispute:</w:t>
      </w:r>
      <w:r>
        <w:rPr>
          <w:rFonts w:ascii="Times" w:hAnsi="Times" w:cs="Times"/>
          <w:sz w:val="24"/>
          <w:sz-cs w:val="24"/>
          <w:spacing w:val="0"/>
        </w:rPr>
        <w:t xml:space="preserve"> the UY2024 full-limit BI claim has a disputed late-notice defense; outcome uncertain.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• Loss trend and social-inflation pressure rising; the cedent projects rate increases of 6–8% on the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underlying GL book in 2026 (not yet earned into the experience).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