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Cedent Treaty Submission — Pinnacle Mutual Insurance Company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Program summary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Field                  Detail                           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---------------------  ------------------------------------------------------------------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Cedent                 Pinnacle Mutual Insurance Company (regional P&amp;C mutual, est. 1961)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Line of business       Commercial General Liability     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Program                General Liability Excess of Loss — $2M xs $1M per occurrence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Aggregate              $6M annual aggregate to the layer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Basis                  Losses-occurring, 12-month term  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Reinstatements         One, at 100% additional premium, pro rata as to time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Requested inception    Within 45 days (1 Jan renewal)   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Client manager         J. Alvarez, Treaty — P&amp;C                 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Existing relationship  Ceded to Gen Re on this program since 2019                        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Cedent profile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Regional commercial-lines mutual serving the Pacific Northwest and Mountain West. Writes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predominantly small and mid-market General Liability, with some Commercial Auto and Property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(not part of this submission). A.M. Best </w:t>
      </w:r>
      <w:r>
        <w:rPr>
          <w:rFonts w:ascii="Times" w:hAnsi="Times" w:cs="Times"/>
          <w:sz w:val="24"/>
          <w:sz-cs w:val="24"/>
          <w:b/>
          <w:spacing w:val="0"/>
        </w:rPr>
        <w:t xml:space="preserve">A- (Excellent)</w:t>
      </w:r>
      <w:r>
        <w:rPr>
          <w:rFonts w:ascii="Times" w:hAnsi="Times" w:cs="Times"/>
          <w:sz w:val="24"/>
          <w:sz-cs w:val="24"/>
          <w:spacing w:val="0"/>
        </w:rPr>
        <w:t xml:space="preserve">, policyholder surplus ~$310M.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Lines in this submission:</w:t>
      </w:r>
      <w:r>
        <w:rPr>
          <w:rFonts w:ascii="Times" w:hAnsi="Times" w:cs="Times"/>
          <w:sz w:val="24"/>
          <w:sz-cs w:val="24"/>
          <w:spacing w:val="0"/>
        </w:rPr>
        <w:t xml:space="preserve"> Commercial General Liability (NAICS-mixed commercial risks)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HQ:</w:t>
      </w:r>
      <w:r>
        <w:rPr>
          <w:rFonts w:ascii="Times" w:hAnsi="Times" w:cs="Times"/>
          <w:sz w:val="24"/>
          <w:sz-cs w:val="24"/>
          <w:spacing w:val="0"/>
        </w:rPr>
        <w:t xml:space="preserve"> Portland, OR; underwriting offices in Boise and Salt Lake City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Management:</w:t>
      </w:r>
      <w:r>
        <w:rPr>
          <w:rFonts w:ascii="Times" w:hAnsi="Times" w:cs="Times"/>
          <w:sz w:val="24"/>
          <w:sz-cs w:val="24"/>
          <w:spacing w:val="0"/>
        </w:rPr>
        <w:t xml:space="preserve"> Chief Underwriting Officer 24 yrs experience; Chief Actuary hired 8 months ago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Subject premium &amp; experience (underwriting years, layer = $2M xs $1M)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($000s)                   UY2021  UY2022  UY2023  UY2024  UY2025 (interim, as-of Sep 30)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------------------------  ------  ------  ------  ------  ------------------------------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Subject GL premium        39,800  42,600  44,900  46,300  48,000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Ceded premium to layer    3,180   3,410   3,590   3,700   3,840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Incurred losses to layer  1,840   2,050   2,360   2,590   2,720   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Loss ratio to layer       57.9%   60.1%   65.7%   70.0%   70.8%                         </w:t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Note: UY2025 figures are </w:t>
      </w:r>
      <w:r>
        <w:rPr>
          <w:rFonts w:ascii="Times" w:hAnsi="Times" w:cs="Times"/>
          <w:sz w:val="24"/>
          <w:sz-cs w:val="24"/>
          <w:b/>
          <w:i/>
          <w:spacing w:val="0"/>
        </w:rPr>
        <w:t xml:space="preserve">interim</w:t>
      </w:r>
      <w:r>
        <w:rPr>
          <w:rFonts w:ascii="Times" w:hAnsi="Times" w:cs="Times"/>
          <w:sz w:val="24"/>
          <w:sz-cs w:val="24"/>
          <w:i/>
          <w:spacing w:val="0"/>
        </w:rPr>
        <w:t xml:space="preserve"> (bordereau as of Sep 30, with case reserves only, no IBNR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development applied). Audited year-end bordereau is </w:t>
      </w:r>
      <w:r>
        <w:rPr>
          <w:rFonts w:ascii="Times" w:hAnsi="Times" w:cs="Times"/>
          <w:sz w:val="24"/>
          <w:sz-cs w:val="24"/>
          <w:b/>
          <w:i/>
          <w:spacing w:val="0"/>
        </w:rPr>
        <w:t xml:space="preserve">not yet available</w:t>
      </w:r>
      <w:r>
        <w:rPr>
          <w:rFonts w:ascii="Times" w:hAnsi="Times" w:cs="Times"/>
          <w:sz w:val="24"/>
          <w:sz-cs w:val="24"/>
          <w:i/>
          <w:spacing w:val="0"/>
        </w:rPr>
        <w:t xml:space="preserve"> — most recent audited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statement year is UY2024.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Exposure profile (UY2025 subject premium by state)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State                 Share of subject premium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--------------------  ------------------------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California            24%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Texas                 14%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Oregon                13%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Washington            11%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Idaho / Utah / other  38%                     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Two states (CA + TX) together represent </w:t>
      </w:r>
      <w:r>
        <w:rPr>
          <w:rFonts w:ascii="Times" w:hAnsi="Times" w:cs="Times"/>
          <w:sz w:val="24"/>
          <w:sz-cs w:val="24"/>
          <w:b/>
          <w:spacing w:val="0"/>
        </w:rPr>
        <w:t xml:space="preserve">~38% of subject premium</w:t>
      </w:r>
      <w:r>
        <w:rPr>
          <w:rFonts w:ascii="Times" w:hAnsi="Times" w:cs="Times"/>
          <w:sz w:val="24"/>
          <w:sz-cs w:val="24"/>
          <w:spacing w:val="0"/>
        </w:rPr>
        <w:t xml:space="preserve">; largest single state ≈ 24%.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Class mix is weighted to contracting, habitational, and light manufacturing GL.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Rate adequacy (to the layer)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Item                                   Value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-------------------------------------  -------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Ceded premium (UY2025)                 $3,840K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Rate on line (ceded prem ÷ $2M limit)  8.0%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5-year weighted loss ratio to layer    65.1%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Target loss ratio to layer             ≤ 65%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Latest-year loss ratio (interim)       70.8%  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6. Large-loss detail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Loss                                            Layer incurred        Basis           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----------------------------------------------  --------------------  ---------------------------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UY2024 bodily-injury claim (single occurrence)  $2,000K (full limit)  Case reserve; in litigation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UY2023 premises-liability claim                 $780K                 Settled Aug 2025           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Attritional (all other, UY2021–2025)            remainder             Bordereau                  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single UY2024 BI claim drove </w:t>
      </w:r>
      <w:r>
        <w:rPr>
          <w:rFonts w:ascii="Times" w:hAnsi="Times" w:cs="Times"/>
          <w:sz w:val="24"/>
          <w:sz-cs w:val="24"/>
          <w:b/>
          <w:spacing w:val="0"/>
        </w:rPr>
        <w:t xml:space="preserve">~30% of that year's incurred to the layer</w:t>
      </w:r>
      <w:r>
        <w:rPr>
          <w:rFonts w:ascii="Times" w:hAnsi="Times" w:cs="Times"/>
          <w:sz w:val="24"/>
          <w:sz-cs w:val="24"/>
          <w:spacing w:val="0"/>
        </w:rPr>
        <w:t xml:space="preserve"> and is the main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reason the loss ratio stepped up. It is a first-position, full-limit loss.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7. Security &amp; financial standing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Cedent rating:</w:t>
      </w:r>
      <w:r>
        <w:rPr>
          <w:rFonts w:ascii="Times" w:hAnsi="Times" w:cs="Times"/>
          <w:sz w:val="24"/>
          <w:sz-cs w:val="24"/>
          <w:spacing w:val="0"/>
        </w:rPr>
        <w:t xml:space="preserve"> A.M. Best </w:t>
      </w:r>
      <w:r>
        <w:rPr>
          <w:rFonts w:ascii="Times" w:hAnsi="Times" w:cs="Times"/>
          <w:sz w:val="24"/>
          <w:sz-cs w:val="24"/>
          <w:b/>
          <w:spacing w:val="0"/>
        </w:rPr>
        <w:t xml:space="preserve">A- (Excellent)</w:t>
      </w:r>
      <w:r>
        <w:rPr>
          <w:rFonts w:ascii="Times" w:hAnsi="Times" w:cs="Times"/>
          <w:sz w:val="24"/>
          <w:sz-cs w:val="24"/>
          <w:spacing w:val="0"/>
        </w:rPr>
        <w:t xml:space="preserve">, affirmed May 2025.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Policyholder surplus:</w:t>
      </w:r>
      <w:r>
        <w:rPr>
          <w:rFonts w:ascii="Times" w:hAnsi="Times" w:cs="Times"/>
          <w:sz w:val="24"/>
          <w:sz-cs w:val="24"/>
          <w:spacing w:val="0"/>
        </w:rPr>
        <w:t xml:space="preserve"> ~$310M; net premium-to-surplus ~0.9x.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No collateral or funds-withheld requested; standard treaty security terms.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8. Terms &amp; conditions (proposed)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Attachment </w:t>
      </w:r>
      <w:r>
        <w:rPr>
          <w:rFonts w:ascii="Times" w:hAnsi="Times" w:cs="Times"/>
          <w:sz w:val="24"/>
          <w:sz-cs w:val="24"/>
          <w:b/>
          <w:spacing w:val="0"/>
        </w:rPr>
        <w:t xml:space="preserve">$1M</w:t>
      </w:r>
      <w:r>
        <w:rPr>
          <w:rFonts w:ascii="Times" w:hAnsi="Times" w:cs="Times"/>
          <w:sz w:val="24"/>
          <w:sz-cs w:val="24"/>
          <w:spacing w:val="0"/>
        </w:rPr>
        <w:t xml:space="preserve">, limit </w:t>
      </w:r>
      <w:r>
        <w:rPr>
          <w:rFonts w:ascii="Times" w:hAnsi="Times" w:cs="Times"/>
          <w:sz w:val="24"/>
          <w:sz-cs w:val="24"/>
          <w:b/>
          <w:spacing w:val="0"/>
        </w:rPr>
        <w:t xml:space="preserve">$2M</w:t>
      </w:r>
      <w:r>
        <w:rPr>
          <w:rFonts w:ascii="Times" w:hAnsi="Times" w:cs="Times"/>
          <w:sz w:val="24"/>
          <w:sz-cs w:val="24"/>
          <w:spacing w:val="0"/>
        </w:rPr>
        <w:t xml:space="preserve"> per occurrence; </w:t>
      </w:r>
      <w:r>
        <w:rPr>
          <w:rFonts w:ascii="Times" w:hAnsi="Times" w:cs="Times"/>
          <w:sz w:val="24"/>
          <w:sz-cs w:val="24"/>
          <w:b/>
          <w:spacing w:val="0"/>
        </w:rPr>
        <w:t xml:space="preserve">$6M</w:t>
      </w:r>
      <w:r>
        <w:rPr>
          <w:rFonts w:ascii="Times" w:hAnsi="Times" w:cs="Times"/>
          <w:sz w:val="24"/>
          <w:sz-cs w:val="24"/>
          <w:spacing w:val="0"/>
        </w:rPr>
        <w:t xml:space="preserve"> annual aggregate.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 reinstatement</w:t>
      </w:r>
      <w:r>
        <w:rPr>
          <w:rFonts w:ascii="Times" w:hAnsi="Times" w:cs="Times"/>
          <w:sz w:val="24"/>
          <w:sz-cs w:val="24"/>
          <w:spacing w:val="0"/>
        </w:rPr>
        <w:t xml:space="preserve"> at 100% additional premium.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Ceded rate on line </w:t>
      </w:r>
      <w:r>
        <w:rPr>
          <w:rFonts w:ascii="Times" w:hAnsi="Times" w:cs="Times"/>
          <w:sz w:val="24"/>
          <w:sz-cs w:val="24"/>
          <w:b/>
          <w:spacing w:val="0"/>
        </w:rPr>
        <w:t xml:space="preserve">8.0%</w:t>
      </w:r>
      <w:r>
        <w:rPr>
          <w:rFonts w:ascii="Times" w:hAnsi="Times" w:cs="Times"/>
          <w:sz w:val="24"/>
          <w:sz-cs w:val="24"/>
          <w:spacing w:val="0"/>
        </w:rPr>
        <w:t xml:space="preserve"> (UY2025 basis).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Claims reporting: quarterly bordereau within 60 days of quarter end; large-loss advices within 30 days.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Sunset clause: 84 months.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9. Relationship &amp; notes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On this program with Gen Re since 2019; generally clean and timely bordereau history.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 late bordereau</w:t>
      </w:r>
      <w:r>
        <w:rPr>
          <w:rFonts w:ascii="Times" w:hAnsi="Times" w:cs="Times"/>
          <w:sz w:val="24"/>
          <w:sz-cs w:val="24"/>
          <w:spacing w:val="0"/>
        </w:rPr>
        <w:t xml:space="preserve"> (11 days) in early 2024, attributed to a policy-admin system migration; timely since.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Reserve restatement:</w:t>
      </w:r>
      <w:r>
        <w:rPr>
          <w:rFonts w:ascii="Times" w:hAnsi="Times" w:cs="Times"/>
          <w:sz w:val="24"/>
          <w:sz-cs w:val="24"/>
          <w:spacing w:val="0"/>
        </w:rPr>
        <w:t xml:space="preserve"> the new Chief Actuary strengthened UY2022–2023 case reserves by ~$180K in mid-2025.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</w:t>
      </w:r>
      <w:r>
        <w:rPr>
          <w:rFonts w:ascii="Times" w:hAnsi="Times" w:cs="Times"/>
          <w:sz w:val="24"/>
          <w:sz-cs w:val="24"/>
          <w:b/>
          <w:spacing w:val="0"/>
        </w:rPr>
        <w:t xml:space="preserve">Coverage dispute:</w:t>
      </w:r>
      <w:r>
        <w:rPr>
          <w:rFonts w:ascii="Times" w:hAnsi="Times" w:cs="Times"/>
          <w:sz w:val="24"/>
          <w:sz-cs w:val="24"/>
          <w:spacing w:val="0"/>
        </w:rPr>
        <w:t xml:space="preserve"> the UY2024 full-limit BI claim has a disputed late-notice defense; outcome uncertain.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 Loss trend and social-inflation pressure rising; the cedent projects rate increases of 6–8% on the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underlying GL book in 2026 (not yet earned into the experience).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