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Team Update Memo</w:t>
      </w:r>
    </w:p>
    <w:p>
      <w:r>
        <w:t>Synthetic sample document — Copilot training use only.</w:t>
      </w:r>
    </w:p>
    <w:p>
      <w:r>
        <w:t>This quarter, our segments delivered mixed results against budget, with Grocery &amp; Foodservice and Cleaning &amp; Hygiene running ahead of plan while Safety and Retail came in under. Details are in the attached budget review.</w:t>
      </w:r>
    </w:p>
    <w:p>
      <w:r>
        <w:t>Next steps: each segment lead reviews their variance drivers and confirms initiative owners for next quarter.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