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jc w:val="center"/>
      </w:pPr>
      <w:r>
        <w:rPr>
          <w:rFonts w:ascii="Arial" w:cs="Arial" w:eastAsia="Arial" w:hAnsi="Arial"/>
          <w:b/>
          <w:bCs/>
          <w:color w:val="1F3A5F"/>
          <w:sz w:val="72"/>
          <w:szCs w:val="72"/>
        </w:rPr>
        <w:t xml:space="preserve">HAWKSYN</w:t>
      </w:r>
    </w:p>
    <w:p>
      <w:pPr>
        <w:spacing w:after="80" w:before="80"/>
        <w:jc w:val="center"/>
      </w:pPr>
      <w:r>
        <w:rPr>
          <w:rFonts w:ascii="Arial" w:cs="Arial" w:eastAsia="Arial" w:hAnsi="Arial"/>
          <w:color w:val="2E75B6"/>
          <w:sz w:val="40"/>
          <w:szCs w:val="40"/>
        </w:rPr>
        <w:t xml:space="preserve">Complete Data Flow Reference</w:t>
      </w:r>
    </w:p>
    <w:p>
      <w:pPr>
        <w:spacing w:after="480" w:before="80"/>
        <w:jc w:val="center"/>
      </w:pPr>
      <w:r>
        <w:rPr>
          <w:rFonts w:ascii="Arial" w:cs="Arial" w:eastAsia="Arial" w:hAnsi="Arial"/>
          <w:color w:val="666666"/>
          <w:sz w:val="24"/>
          <w:szCs w:val="24"/>
        </w:rPr>
        <w:t xml:space="preserve">Step 1 (Login) → Step 8 (Delivery) — 51 MongoDB Collections</w:t>
      </w:r>
    </w:p>
    <w:p>
      <w:pPr>
        <w:pBdr>
          <w:top w:val="single" w:color="2E75B6" w:sz="6" w:space="4"/>
        </w:pBdr>
        <w:spacing w:after="60" w:before="120"/>
        <w:jc w:val="center"/>
      </w:pPr>
      <w:r>
        <w:rPr>
          <w:rFonts w:ascii="Arial" w:cs="Arial" w:eastAsia="Arial" w:hAnsi="Arial"/>
          <w:color w:val="666666"/>
          <w:sz w:val="22"/>
          <w:szCs w:val="22"/>
        </w:rPr>
        <w:t xml:space="preserve">Career Risk Intelligence Platform</w:t>
      </w:r>
    </w:p>
    <w:p>
      <w:pPr>
        <w:jc w:val="center"/>
      </w:pPr>
      <w:r>
        <w:rPr>
          <w:rFonts w:ascii="Arial" w:cs="Arial" w:eastAsia="Arial" w:hAnsi="Arial"/>
          <w:color w:val="666666"/>
          <w:sz w:val="22"/>
          <w:szCs w:val="22"/>
        </w:rPr>
        <w:t xml:space="preserve">Architecture &amp; Backend Engineering Reference</w:t>
      </w:r>
    </w:p>
    <w:p>
      <w:r>
        <w:br w:type="page"/>
      </w:r>
    </w:p>
    <w:p>
      <w:pPr>
        <w:pStyle w:val="Heading1"/>
        <w:pBdr>
          <w:bottom w:val="single" w:color="2E75B6" w:sz="6" w:space="4"/>
        </w:pBdr>
        <w:spacing w:after="120" w:before="360"/>
      </w:pPr>
      <w:r>
        <w:rPr>
          <w:rFonts w:ascii="Arial" w:cs="Arial" w:eastAsia="Arial" w:hAnsi="Arial"/>
          <w:b/>
          <w:bCs/>
          <w:color w:val="1F3A5F"/>
          <w:sz w:val="32"/>
          <w:szCs w:val="32"/>
        </w:rPr>
        <w:t xml:space="preserve">Overview</w:t>
      </w:r>
    </w:p>
    <w:p>
      <w:pPr>
        <w:spacing w:after="80" w:before="40"/>
      </w:pPr>
      <w:r>
        <w:rPr>
          <w:rFonts w:ascii="Arial" w:cs="Arial" w:eastAsia="Arial" w:hAnsi="Arial"/>
          <w:color w:val="1F1F1F"/>
          <w:sz w:val="22"/>
          <w:szCs w:val="22"/>
        </w:rPr>
        <w:t xml:space="preserve">Hawksyn is a mobile-first career risk audit platform. A user uploads their CV, answers objective MCQ questions, and receives an AI-generated risk report (the Decision Audit Report, or DAR) reviewed by a human expert (called an Auditor). The home screen displays four animated Clocks showing the user's career health across key dimensions.</w:t>
      </w:r>
    </w:p>
    <w:p>
      <w:pPr>
        <w:spacing w:after="0" w:before="80"/>
      </w:pPr>
      <w:r>
        <w:t xml:space="preserve"/>
      </w:r>
    </w:p>
    <w:p>
      <w:pPr>
        <w:spacing w:after="80" w:before="40"/>
      </w:pPr>
      <w:r>
        <w:rPr>
          <w:rFonts w:ascii="Arial" w:cs="Arial" w:eastAsia="Arial" w:hAnsi="Arial"/>
          <w:color w:val="1F1F1F"/>
          <w:sz w:val="22"/>
          <w:szCs w:val="22"/>
        </w:rPr>
        <w:t xml:space="preserve">This document traces every data write and read across all 51 MongoDB collections, from the moment a user logs in through final report delivery. Each step shows which collections are written to, what fields are populated, and what data propagates to the next stage.</w:t>
      </w:r>
    </w:p>
    <w:p>
      <w:pPr>
        <w:spacing w:after="0" w:before="80"/>
      </w:pPr>
      <w:r>
        <w:t xml:space="preserve"/>
      </w:r>
    </w:p>
    <w:p>
      <w:pPr>
        <w:pStyle w:val="Heading2"/>
        <w:spacing w:after="80" w:before="280"/>
      </w:pPr>
      <w:r>
        <w:rPr>
          <w:rFonts w:ascii="Arial" w:cs="Arial" w:eastAsia="Arial" w:hAnsi="Arial"/>
          <w:b/>
          <w:bCs/>
          <w:color w:val="2E75B6"/>
          <w:sz w:val="26"/>
          <w:szCs w:val="26"/>
        </w:rPr>
        <w:t xml:space="preserve">Key Spine Keys</w:t>
      </w:r>
    </w:p>
    <w:p>
      <w:pPr>
        <w:spacing w:after="80" w:before="40"/>
      </w:pPr>
      <w:r>
        <w:rPr>
          <w:rFonts w:ascii="Arial" w:cs="Arial" w:eastAsia="Arial" w:hAnsi="Arial"/>
          <w:color w:val="1F1F1F"/>
          <w:sz w:val="22"/>
          <w:szCs w:val="22"/>
        </w:rPr>
        <w:t xml:space="preserve">Two identifiers thread through virtually every table in the pipeline:</w:t>
      </w:r>
    </w:p>
    <w:p>
      <w:pPr>
        <w:pStyle w:val="ListParagraph"/>
        <w:numPr>
          <w:ilvl w:val="0"/>
          <w:numId w:val="2"/>
        </w:numPr>
      </w:pPr>
      <w:r>
        <w:rPr>
          <w:rFonts w:ascii="Arial" w:cs="Arial" w:eastAsia="Arial" w:hAnsi="Arial"/>
          <w:color w:val="1F1F1F"/>
          <w:sz w:val="22"/>
          <w:szCs w:val="22"/>
        </w:rPr>
        <w:t xml:space="preserve">runId — created at payment, pinned to a specific case+intent combination, immutable after creation.</w:t>
      </w:r>
    </w:p>
    <w:p>
      <w:pPr>
        <w:pStyle w:val="ListParagraph"/>
        <w:numPr>
          <w:ilvl w:val="0"/>
          <w:numId w:val="2"/>
        </w:numPr>
      </w:pPr>
      <w:r>
        <w:rPr>
          <w:rFonts w:ascii="Arial" w:cs="Arial" w:eastAsia="Arial" w:hAnsi="Arial"/>
          <w:color w:val="1F1F1F"/>
          <w:sz w:val="22"/>
          <w:szCs w:val="22"/>
        </w:rPr>
        <w:t xml:space="preserve">playbookVersionId — locks the exact taxonomy snapshot (constraints, contradictions, prompts, scoring policy) for the run's lifetime.</w:t>
      </w:r>
    </w:p>
    <w:p>
      <w:pPr>
        <w:spacing w:after="0" w:before="80"/>
      </w:pPr>
      <w:r>
        <w:t xml:space="preserve"/>
      </w:r>
    </w:p>
    <w:p>
      <w:pPr>
        <w:pStyle w:val="Heading2"/>
        <w:spacing w:after="80" w:before="280"/>
      </w:pPr>
      <w:r>
        <w:rPr>
          <w:rFonts w:ascii="Arial" w:cs="Arial" w:eastAsia="Arial" w:hAnsi="Arial"/>
          <w:b/>
          <w:bCs/>
          <w:color w:val="2E75B6"/>
          <w:sz w:val="26"/>
          <w:szCs w:val="26"/>
        </w:rPr>
        <w:t xml:space="preserve">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In (written)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Out (emitted downstream)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RAS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Run Artifact Store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Immutable receipt for each processing step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DAR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Decision Audit Report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Final output delivered to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MOI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Mandatory Objective Input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Question set served to user in intake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AEU</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Audit Evidence Unit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Structured evidence artifact per processing step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DRO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Detectable Risk Object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Named risk type with severity and remediation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ELR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Evaluation Library Registry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Pointer set to all taxonomy IDs for a run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STEP 1</w:t>
            </w:r>
          </w:p>
        </w:tc>
        <w:tc>
          <w:tcPr>
            <w:tcW w:type="dxa" w:w="8560"/>
            <w:tcBorders>
              <w:top w:val="none" w:color="FFFFFF" w:sz="0"/>
              <w:left w:val="single" w:color="AAAAAA" w:sz="2"/>
              <w:bottom w:val="none" w:color="FFFFFF" w:sz="0"/>
              <w:right w:val="none" w:color="FFFFFF" w:sz="0"/>
            </w:tcBorders>
            <w:shd w:fill="D5E8F0" w:val="clear"/>
            <w:tcMar>
              <w:top w:type="dxa" w:w="80"/>
              <w:left w:type="dxa" w:w="200"/>
              <w:bottom w:type="dxa" w:w="80"/>
              <w:right w:type="dxa" w:w="120"/>
            </w:tcMar>
          </w:tcPr>
          <w:p>
            <w:r>
              <w:rPr>
                <w:rFonts w:ascii="Arial" w:cs="Arial" w:eastAsia="Arial" w:hAnsi="Arial"/>
                <w:b/>
                <w:bCs/>
                <w:color w:val="1F3A5F"/>
                <w:sz w:val="26"/>
                <w:szCs w:val="26"/>
              </w:rPr>
              <w:t xml:space="preserve">Identity &amp; Authentication</w:t>
            </w:r>
          </w:p>
          <w:p>
            <w:r>
              <w:rPr>
                <w:rFonts w:ascii="Arial" w:cs="Arial" w:eastAsia="Arial" w:hAnsi="Arial"/>
                <w:color w:val="666666"/>
                <w:sz w:val="20"/>
                <w:szCs w:val="20"/>
              </w:rPr>
              <w:t xml:space="preserve">User registers or logs in · OTP verified · session established</w:t>
            </w:r>
          </w:p>
        </w:tc>
      </w:tr>
    </w:tbl>
    <w:p>
      <w:pPr>
        <w:spacing w:after="0" w:before="120"/>
      </w:pPr>
      <w:r>
        <w:t xml:space="preserve"/>
      </w:r>
    </w:p>
    <w:p>
      <w:pPr>
        <w:spacing w:after="80" w:before="40"/>
      </w:pPr>
      <w:r>
        <w:rPr>
          <w:rFonts w:ascii="Arial" w:cs="Arial" w:eastAsia="Arial" w:hAnsi="Arial"/>
          <w:color w:val="1F1F1F"/>
          <w:sz w:val="22"/>
          <w:szCs w:val="22"/>
        </w:rPr>
        <w:t xml:space="preserve">The user creates an account or logs in via email/OTP or Google OAuth. An audit trail is written for every authentication action.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In (written)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Out (emitted downstream)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users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email, name, googleId, loginType, countryCode, fcmToken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userId (_id), refreshToken, role, mPinSet state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otps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email, OTP hash, expiresAt (TTL-indexed)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isUsed=true on successful verify; auto-expired by MongoDB TTL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admins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admin credentials, role (admin/sub_admin)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admin userId, refreshToken for admin panel sessions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auditlogs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action string, ip, userAgent, userId (optional)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Immutable audit trail — never updated after write</w:t>
            </w:r>
          </w:p>
        </w:tc>
      </w:tr>
    </w:tbl>
    <w:p>
      <w:pPr>
        <w:spacing w:after="0" w:before="80"/>
      </w:pPr>
      <w:r>
        <w:t xml:space="preserve"/>
      </w:r>
    </w:p>
    <w:p>
      <w:pPr>
        <w:pBdr>
          <w:left w:val="single" w:color="2E75B6" w:sz="12" w:space="8"/>
        </w:pBdr>
        <w:spacing w:after="80" w:before="60"/>
        <w:ind w:left="360"/>
      </w:pPr>
      <w:r>
        <w:rPr>
          <w:rFonts w:ascii="Arial" w:cs="Arial" w:eastAsia="Arial" w:hAnsi="Arial"/>
          <w:color w:val="666666"/>
          <w:sz w:val="20"/>
          <w:szCs w:val="20"/>
        </w:rPr>
        <w:t xml:space="preserve">users._id flows as userId into every downstream collection. The OTP TTL index auto-expires entries. mPin is stored as a bcrypt hash; wrongPinCount increments on failure.</w:t>
      </w:r>
    </w:p>
    <w:p>
      <w:pPr>
        <w:spacing w:after="120" w:before="120"/>
        <w:jc w:val="center"/>
      </w:pPr>
      <w:r>
        <w:rPr>
          <w:rFonts w:ascii="Arial" w:cs="Arial" w:eastAsia="Arial" w:hAnsi="Arial"/>
          <w:b/>
          <w:bCs/>
          <w:color w:val="2E75B6"/>
          <w:sz w:val="24"/>
          <w:szCs w:val="24"/>
        </w:rPr>
        <w:t xml:space="preserve">  ▼  </w:t>
      </w:r>
      <w:r>
        <w:rPr>
          <w:rFonts w:ascii="Arial" w:cs="Arial" w:eastAsia="Arial" w:hAnsi="Arial"/>
          <w:color w:val="666666"/>
          <w:sz w:val="18"/>
          <w:szCs w:val="18"/>
        </w:rPr>
        <w:t xml:space="preserve">userId established → CV upload begins</w:t>
      </w:r>
      <w:r>
        <w:rPr>
          <w:rFonts w:ascii="Arial" w:cs="Arial" w:eastAsia="Arial" w:hAnsi="Arial"/>
          <w:b/>
          <w:bCs/>
          <w:color w:val="2E75B6"/>
          <w:sz w:val="24"/>
          <w:szCs w:val="24"/>
        </w:rPr>
        <w:t xml:space="preserve">  ▼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STEP 2</w:t>
            </w:r>
          </w:p>
        </w:tc>
        <w:tc>
          <w:tcPr>
            <w:tcW w:type="dxa" w:w="8560"/>
            <w:tcBorders>
              <w:top w:val="none" w:color="FFFFFF" w:sz="0"/>
              <w:left w:val="single" w:color="AAAAAA" w:sz="2"/>
              <w:bottom w:val="none" w:color="FFFFFF" w:sz="0"/>
              <w:right w:val="none" w:color="FFFFFF" w:sz="0"/>
            </w:tcBorders>
            <w:shd w:fill="D5E8F0" w:val="clear"/>
            <w:tcMar>
              <w:top w:type="dxa" w:w="80"/>
              <w:left w:type="dxa" w:w="200"/>
              <w:bottom w:type="dxa" w:w="80"/>
              <w:right w:type="dxa" w:w="120"/>
            </w:tcMar>
          </w:tcPr>
          <w:p>
            <w:r>
              <w:rPr>
                <w:rFonts w:ascii="Arial" w:cs="Arial" w:eastAsia="Arial" w:hAnsi="Arial"/>
                <w:b/>
                <w:bCs/>
                <w:color w:val="1F3A5F"/>
                <w:sz w:val="26"/>
                <w:szCs w:val="26"/>
              </w:rPr>
              <w:t xml:space="preserve">CV Upload &amp; Profile Build</w:t>
            </w:r>
          </w:p>
          <w:p>
            <w:r>
              <w:rPr>
                <w:rFonts w:ascii="Arial" w:cs="Arial" w:eastAsia="Arial" w:hAnsi="Arial"/>
                <w:color w:val="666666"/>
                <w:sz w:val="20"/>
                <w:szCs w:val="20"/>
              </w:rPr>
              <w:t xml:space="preserve">CV parsed by LLM · profile fields confirmed · career clocks initialised</w:t>
            </w:r>
          </w:p>
        </w:tc>
      </w:tr>
    </w:tbl>
    <w:p>
      <w:pPr>
        <w:spacing w:after="0" w:before="120"/>
      </w:pPr>
      <w:r>
        <w:t xml:space="preserve"/>
      </w:r>
    </w:p>
    <w:p>
      <w:pPr>
        <w:spacing w:after="80" w:before="40"/>
      </w:pPr>
      <w:r>
        <w:rPr>
          <w:rFonts w:ascii="Arial" w:cs="Arial" w:eastAsia="Arial" w:hAnsi="Arial"/>
          <w:color w:val="1F1F1F"/>
          <w:sz w:val="22"/>
          <w:szCs w:val="22"/>
        </w:rPr>
        <w:t xml:space="preserve">The user uploads a CV (PDF or DOCX). The system parses it using the LLM engine specified in the active Playbook, extracts structured fields, and presents them for user confirmation. Confirmed profile data seeds the four career health Clocks.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In (written)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Out (emitted downstream)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document_uploads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cvUrl (S3/CDN), userId, fileName, isActive=true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cvUploadId (_id), parsedCvData (structured JSON), parserStatus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user_profiles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parsedCvData, userId, confirmedProfile after user review</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confirmedProfile, overrideMap (fields changed/accepted), isConfirmed, confirmedAt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document_file_rules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documentPolicyId from Playbook (read-only lookup)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allowedFormats, parserEngine, normalisationLlm to use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user_clocks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userId, role &amp; industry from confirmedProfile, pulseId from MarketPulse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4 clock scores (aiExposure, careerMomentum, skillRelevance, opportunityWindow), validityState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market_pulses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role + industry lookup (read-only)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aiExposureScore, insightText — pre-computed by weekly CRON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clock_history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Snapshot of 4 scores, triggeredBy=AUTO_OPEN, calculatedAt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Historical time-series of clock state for trend analysis</w:t>
            </w:r>
          </w:p>
        </w:tc>
      </w:tr>
    </w:tbl>
    <w:p>
      <w:pPr>
        <w:spacing w:after="0" w:before="80"/>
      </w:pPr>
      <w:r>
        <w:t xml:space="preserve"/>
      </w:r>
    </w:p>
    <w:p>
      <w:pPr>
        <w:pBdr>
          <w:left w:val="single" w:color="2E75B6" w:sz="12" w:space="8"/>
        </w:pBdr>
        <w:spacing w:after="80" w:before="60"/>
        <w:ind w:left="360"/>
      </w:pPr>
      <w:r>
        <w:rPr>
          <w:rFonts w:ascii="Arial" w:cs="Arial" w:eastAsia="Arial" w:hAnsi="Arial"/>
          <w:color w:val="666666"/>
          <w:sz w:val="20"/>
          <w:szCs w:val="20"/>
        </w:rPr>
        <w:t xml:space="preserve">The parser uses documentPolicyId from the active Playbook. normalisationLlm field selects GEMINI or OPENAI. Profile confirmation triggers a clock recalculation and writes a clock_history snapshot.</w:t>
      </w:r>
    </w:p>
    <w:p>
      <w:pPr>
        <w:spacing w:after="120" w:before="120"/>
        <w:jc w:val="center"/>
      </w:pPr>
      <w:r>
        <w:rPr>
          <w:rFonts w:ascii="Arial" w:cs="Arial" w:eastAsia="Arial" w:hAnsi="Arial"/>
          <w:b/>
          <w:bCs/>
          <w:color w:val="2E75B6"/>
          <w:sz w:val="24"/>
          <w:szCs w:val="24"/>
        </w:rPr>
        <w:t xml:space="preserve">  ▼  </w:t>
      </w:r>
      <w:r>
        <w:rPr>
          <w:rFonts w:ascii="Arial" w:cs="Arial" w:eastAsia="Arial" w:hAnsi="Arial"/>
          <w:color w:val="666666"/>
          <w:sz w:val="18"/>
          <w:szCs w:val="18"/>
        </w:rPr>
        <w:t xml:space="preserve">confirmedProfile + role/industry → Run creation</w:t>
      </w:r>
      <w:r>
        <w:rPr>
          <w:rFonts w:ascii="Arial" w:cs="Arial" w:eastAsia="Arial" w:hAnsi="Arial"/>
          <w:b/>
          <w:bCs/>
          <w:color w:val="2E75B6"/>
          <w:sz w:val="24"/>
          <w:szCs w:val="24"/>
        </w:rPr>
        <w:t xml:space="preserve">  ▼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STEP 3</w:t>
            </w:r>
          </w:p>
        </w:tc>
        <w:tc>
          <w:tcPr>
            <w:tcW w:type="dxa" w:w="8560"/>
            <w:tcBorders>
              <w:top w:val="none" w:color="FFFFFF" w:sz="0"/>
              <w:left w:val="single" w:color="AAAAAA" w:sz="2"/>
              <w:bottom w:val="none" w:color="FFFFFF" w:sz="0"/>
              <w:right w:val="none" w:color="FFFFFF" w:sz="0"/>
            </w:tcBorders>
            <w:shd w:fill="D5E8F0" w:val="clear"/>
            <w:tcMar>
              <w:top w:type="dxa" w:w="80"/>
              <w:left w:type="dxa" w:w="200"/>
              <w:bottom w:type="dxa" w:w="80"/>
              <w:right w:type="dxa" w:w="120"/>
            </w:tcMar>
          </w:tcPr>
          <w:p>
            <w:r>
              <w:rPr>
                <w:rFonts w:ascii="Arial" w:cs="Arial" w:eastAsia="Arial" w:hAnsi="Arial"/>
                <w:b/>
                <w:bCs/>
                <w:color w:val="1F3A5F"/>
                <w:sz w:val="26"/>
                <w:szCs w:val="26"/>
              </w:rPr>
              <w:t xml:space="preserve">Payment &amp; Run Initialisation</w:t>
            </w:r>
          </w:p>
          <w:p>
            <w:r>
              <w:rPr>
                <w:rFonts w:ascii="Arial" w:cs="Arial" w:eastAsia="Arial" w:hAnsi="Arial"/>
                <w:color w:val="666666"/>
                <w:sz w:val="20"/>
                <w:szCs w:val="20"/>
              </w:rPr>
              <w:t xml:space="preserve">User selects case + intent · payment processed · Run record created</w:t>
            </w:r>
          </w:p>
        </w:tc>
      </w:tr>
    </w:tbl>
    <w:p>
      <w:pPr>
        <w:spacing w:after="0" w:before="120"/>
      </w:pPr>
      <w:r>
        <w:t xml:space="preserve"/>
      </w:r>
    </w:p>
    <w:p>
      <w:pPr>
        <w:spacing w:after="80" w:before="40"/>
      </w:pPr>
      <w:r>
        <w:rPr>
          <w:rFonts w:ascii="Arial" w:cs="Arial" w:eastAsia="Arial" w:hAnsi="Arial"/>
          <w:color w:val="1F1F1F"/>
          <w:sz w:val="22"/>
          <w:szCs w:val="22"/>
        </w:rPr>
        <w:t xml:space="preserve">The user chooses a case (e.g., Career Switch) and an intent (e.g., SWITCH). Eligibility gates are checked against the user's profile. Payment is processed, a Run is created, and the exact taxonomy version snapshot is pinned for the lifetime of this run.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In (written)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Out (emitted downstream)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case_registry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caseId lookup (read-only)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caseName, caseCategory, minPrice, maxPrice, documentRequired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intent_taxonomy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intentId lookup (read-only)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intentName, intentType, intentHorizonDays, defaultVerdictMode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case_intent_config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caseId + intentId lookup (read-only)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playbookVersionId, eligibility gates (minAge, minExperience, effectiveFrom/To)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payments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userId, caseId, intentId, productId, purchaseId, amount, platform</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paymentId, status=COMPLETED, verifiedAt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invoices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paymentId, userId, baseAmount, taxAmount, totalAmount, billingAddress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invoiceId, invoiceNumber (unique), pdfUrl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finance_ledger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paymentId, amount, transactionType=REVENUE, userId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ledgerId, balanceAfter — append-only financial ledger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runs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userId, caseId, intentId, playbookVersionId, cvSnapshot (from document_uploads)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runId, status=CREATED — spine key for all processing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user_credits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checksBalance decremented (or expertChatBalance for expert queries)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Updated balance + transaction log appended to transactions[]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playbooks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playbookVersionId lookup (read-only)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documentPolicyId, documentMandatory, allowedLlms, normalisationLlm, objectiveInputSchemaId</w:t>
            </w:r>
          </w:p>
        </w:tc>
      </w:tr>
    </w:tbl>
    <w:p>
      <w:pPr>
        <w:spacing w:after="0" w:before="80"/>
      </w:pPr>
      <w:r>
        <w:t xml:space="preserve"/>
      </w:r>
    </w:p>
    <w:p>
      <w:pPr>
        <w:pBdr>
          <w:left w:val="single" w:color="2E75B6" w:sz="12" w:space="8"/>
        </w:pBdr>
        <w:spacing w:after="80" w:before="60"/>
        <w:ind w:left="360"/>
      </w:pPr>
      <w:r>
        <w:rPr>
          <w:rFonts w:ascii="Arial" w:cs="Arial" w:eastAsia="Arial" w:hAnsi="Arial"/>
          <w:color w:val="666666"/>
          <w:sz w:val="20"/>
          <w:szCs w:val="20"/>
        </w:rPr>
        <w:t xml:space="preserve">runs.playbookVersionId pins the exact taxonomy snapshot. Re-run eligible runs carry previousRunId. runs.reRunSetup governs free re-run windows and price overrides.</w:t>
      </w:r>
    </w:p>
    <w:p>
      <w:pPr>
        <w:spacing w:after="120" w:before="120"/>
        <w:jc w:val="center"/>
      </w:pPr>
      <w:r>
        <w:rPr>
          <w:rFonts w:ascii="Arial" w:cs="Arial" w:eastAsia="Arial" w:hAnsi="Arial"/>
          <w:b/>
          <w:bCs/>
          <w:color w:val="2E75B6"/>
          <w:sz w:val="24"/>
          <w:szCs w:val="24"/>
        </w:rPr>
        <w:t xml:space="preserve">  ▼  </w:t>
      </w:r>
      <w:r>
        <w:rPr>
          <w:rFonts w:ascii="Arial" w:cs="Arial" w:eastAsia="Arial" w:hAnsi="Arial"/>
          <w:color w:val="666666"/>
          <w:sz w:val="18"/>
          <w:szCs w:val="18"/>
        </w:rPr>
        <w:t xml:space="preserve">runId + playbookVersionId thread through all processing steps</w:t>
      </w:r>
      <w:r>
        <w:rPr>
          <w:rFonts w:ascii="Arial" w:cs="Arial" w:eastAsia="Arial" w:hAnsi="Arial"/>
          <w:b/>
          <w:bCs/>
          <w:color w:val="2E75B6"/>
          <w:sz w:val="24"/>
          <w:szCs w:val="24"/>
        </w:rPr>
        <w:t xml:space="preserve">  ▼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STEP 4</w:t>
            </w:r>
          </w:p>
        </w:tc>
        <w:tc>
          <w:tcPr>
            <w:tcW w:type="dxa" w:w="8560"/>
            <w:tcBorders>
              <w:top w:val="none" w:color="FFFFFF" w:sz="0"/>
              <w:left w:val="single" w:color="AAAAAA" w:sz="2"/>
              <w:bottom w:val="none" w:color="FFFFFF" w:sz="0"/>
              <w:right w:val="none" w:color="FFFFFF" w:sz="0"/>
            </w:tcBorders>
            <w:shd w:fill="D5E8F0" w:val="clear"/>
            <w:tcMar>
              <w:top w:type="dxa" w:w="80"/>
              <w:left w:type="dxa" w:w="200"/>
              <w:bottom w:type="dxa" w:w="80"/>
              <w:right w:type="dxa" w:w="120"/>
            </w:tcMar>
          </w:tcPr>
          <w:p>
            <w:r>
              <w:rPr>
                <w:rFonts w:ascii="Arial" w:cs="Arial" w:eastAsia="Arial" w:hAnsi="Arial"/>
                <w:b/>
                <w:bCs/>
                <w:color w:val="1F3A5F"/>
                <w:sz w:val="26"/>
                <w:szCs w:val="26"/>
              </w:rPr>
              <w:t xml:space="preserve">Intake — Objective Questions</w:t>
            </w:r>
          </w:p>
          <w:p>
            <w:r>
              <w:rPr>
                <w:rFonts w:ascii="Arial" w:cs="Arial" w:eastAsia="Arial" w:hAnsi="Arial"/>
                <w:color w:val="666666"/>
                <w:sz w:val="20"/>
                <w:szCs w:val="20"/>
              </w:rPr>
              <w:t xml:space="preserve">MOI question set served · dependency rules applied · answers captured</w:t>
            </w:r>
          </w:p>
        </w:tc>
      </w:tr>
    </w:tbl>
    <w:p>
      <w:pPr>
        <w:spacing w:after="0" w:before="120"/>
      </w:pPr>
      <w:r>
        <w:t xml:space="preserve"/>
      </w:r>
    </w:p>
    <w:p>
      <w:pPr>
        <w:spacing w:after="80" w:before="40"/>
      </w:pPr>
      <w:r>
        <w:rPr>
          <w:rFonts w:ascii="Arial" w:cs="Arial" w:eastAsia="Arial" w:hAnsi="Arial"/>
          <w:color w:val="1F1F1F"/>
          <w:sz w:val="22"/>
          <w:szCs w:val="22"/>
        </w:rPr>
        <w:t xml:space="preserve">The system resolves the question set for this case+intent+playbookVersion. Dependency rules gate question visibility dynamically based on prior answers. All answers are written back to runs.objectiveInputs and a RAS artifact is created.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In (written)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Out (emitted downstream)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mandatory_objective_input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caseId + intentId + playbookVersionId lookup (read-only)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List of moiIds applicable to this run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moi_question_mapping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moiId (read-only)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Ordered questionIds, isMandatory, accuracyImpactFlag, dependencyRuleId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dependency_rules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dependencyRuleId + prior answer values (read-only evaluation)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SKIP or SHOW decision for target question; onFailAction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questions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questionId lookup (read-only)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questionText, MCQ options, scoringType, validationJson, profileGateJson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runs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objectiveInputs (answers) written back, status updated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status → QUESTIONS_CONFIRMED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ras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artifactType=OBJECTIVE_INPUTS_CAPTURED, runId, stepNo, artifactJson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rasId — immutable receipt for this step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notifications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type=PROFILE_CONFLICT if contradiction detected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Push notification to user FCM token</w:t>
            </w:r>
          </w:p>
        </w:tc>
      </w:tr>
    </w:tbl>
    <w:p>
      <w:pPr>
        <w:spacing w:after="0" w:before="80"/>
      </w:pPr>
      <w:r>
        <w:t xml:space="preserve"/>
      </w:r>
    </w:p>
    <w:p>
      <w:pPr>
        <w:pBdr>
          <w:left w:val="single" w:color="2E75B6" w:sz="12" w:space="8"/>
        </w:pBdr>
        <w:spacing w:after="80" w:before="60"/>
        <w:ind w:left="360"/>
      </w:pPr>
      <w:r>
        <w:rPr>
          <w:rFonts w:ascii="Arial" w:cs="Arial" w:eastAsia="Arial" w:hAnsi="Arial"/>
          <w:color w:val="666666"/>
          <w:sz w:val="20"/>
          <w:szCs w:val="20"/>
        </w:rPr>
        <w:t xml:space="preserve">Dependency rules gate question visibility at runtime — a SKIP result marks the question invisible without affecting scoring. Profile conflicts between CV data and MCQ answers trigger PROFILE_CONFLICT notifications.</w:t>
      </w:r>
    </w:p>
    <w:p>
      <w:pPr>
        <w:spacing w:after="120" w:before="120"/>
        <w:jc w:val="center"/>
      </w:pPr>
      <w:r>
        <w:rPr>
          <w:rFonts w:ascii="Arial" w:cs="Arial" w:eastAsia="Arial" w:hAnsi="Arial"/>
          <w:b/>
          <w:bCs/>
          <w:color w:val="2E75B6"/>
          <w:sz w:val="24"/>
          <w:szCs w:val="24"/>
        </w:rPr>
        <w:t xml:space="preserve">  ▼  </w:t>
      </w:r>
      <w:r>
        <w:rPr>
          <w:rFonts w:ascii="Arial" w:cs="Arial" w:eastAsia="Arial" w:hAnsi="Arial"/>
          <w:color w:val="666666"/>
          <w:sz w:val="18"/>
          <w:szCs w:val="18"/>
        </w:rPr>
        <w:t xml:space="preserve">objectiveInputs + confirmedProfile → external signal collection</w:t>
      </w:r>
      <w:r>
        <w:rPr>
          <w:rFonts w:ascii="Arial" w:cs="Arial" w:eastAsia="Arial" w:hAnsi="Arial"/>
          <w:b/>
          <w:bCs/>
          <w:color w:val="2E75B6"/>
          <w:sz w:val="24"/>
          <w:szCs w:val="24"/>
        </w:rPr>
        <w:t xml:space="preserve">  ▼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STEP 5</w:t>
            </w:r>
          </w:p>
        </w:tc>
        <w:tc>
          <w:tcPr>
            <w:tcW w:type="dxa" w:w="8560"/>
            <w:tcBorders>
              <w:top w:val="none" w:color="FFFFFF" w:sz="0"/>
              <w:left w:val="single" w:color="AAAAAA" w:sz="2"/>
              <w:bottom w:val="none" w:color="FFFFFF" w:sz="0"/>
              <w:right w:val="none" w:color="FFFFFF" w:sz="0"/>
            </w:tcBorders>
            <w:shd w:fill="D5E8F0" w:val="clear"/>
            <w:tcMar>
              <w:top w:type="dxa" w:w="80"/>
              <w:left w:type="dxa" w:w="200"/>
              <w:bottom w:type="dxa" w:w="80"/>
              <w:right w:type="dxa" w:w="120"/>
            </w:tcMar>
          </w:tcPr>
          <w:p>
            <w:r>
              <w:rPr>
                <w:rFonts w:ascii="Arial" w:cs="Arial" w:eastAsia="Arial" w:hAnsi="Arial"/>
                <w:b/>
                <w:bCs/>
                <w:color w:val="1F3A5F"/>
                <w:sz w:val="26"/>
                <w:szCs w:val="26"/>
              </w:rPr>
              <w:t xml:space="preserve">External Signal Collection</w:t>
            </w:r>
          </w:p>
          <w:p>
            <w:r>
              <w:rPr>
                <w:rFonts w:ascii="Arial" w:cs="Arial" w:eastAsia="Arial" w:hAnsi="Arial"/>
                <w:color w:val="666666"/>
                <w:sz w:val="20"/>
                <w:szCs w:val="20"/>
              </w:rPr>
              <w:t xml:space="preserve">Market signals fetched · freshness validated · data pool populated</w:t>
            </w:r>
          </w:p>
        </w:tc>
      </w:tr>
    </w:tbl>
    <w:p>
      <w:pPr>
        <w:spacing w:after="0" w:before="120"/>
      </w:pPr>
      <w:r>
        <w:t xml:space="preserve"/>
      </w:r>
    </w:p>
    <w:p>
      <w:pPr>
        <w:spacing w:after="80" w:before="40"/>
      </w:pPr>
      <w:r>
        <w:rPr>
          <w:rFonts w:ascii="Arial" w:cs="Arial" w:eastAsia="Arial" w:hAnsi="Arial"/>
          <w:color w:val="1F1F1F"/>
          <w:sz w:val="22"/>
          <w:szCs w:val="22"/>
        </w:rPr>
        <w:t xml:space="preserve">The system identifies required external signals for this case+intent from the signal taxonomy, fetches them from approved sources (respecting freshness TTLs), and aggregates them into pattern keys that produce named anchors used in AI processing.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In (written)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Out (emitted downstream)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external_signal_taxonomy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caseId + intentId lookup (read-only)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Required signalIds, recencyDaysMax, isMandatory flags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source_registry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sourceId per signal (read-only)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credibilityTier, minConfidenceWeight, conflictPriorityRank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external_evidence_data_pool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signalId, signalValue, runId, geoScope, fetchedAt, freshnessExpiresAt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eedpId, confidenceScore, isValidated flag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data_pattern_key_taxonomy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requiredSignals list, aggregationMethod, weightingLogicJson (read-only)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Aggregated pattern score → producesAnchorName for use in AI sections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case_files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externalSignalSummary (collected, dataQuality, signalsAvailable) written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Coverage completeness state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runs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Status updated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status → SIGNALS_COLLECTED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ras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artifactType=EXTERNAL_SIGNALS_CAPTURED, runId, artifactJson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rasId — immutable receipt</w:t>
            </w:r>
          </w:p>
        </w:tc>
      </w:tr>
    </w:tbl>
    <w:p>
      <w:pPr>
        <w:spacing w:after="0" w:before="80"/>
      </w:pPr>
      <w:r>
        <w:t xml:space="preserve"/>
      </w:r>
    </w:p>
    <w:p>
      <w:pPr>
        <w:pBdr>
          <w:left w:val="single" w:color="2E75B6" w:sz="12" w:space="8"/>
        </w:pBdr>
        <w:spacing w:after="80" w:before="60"/>
        <w:ind w:left="360"/>
      </w:pPr>
      <w:r>
        <w:rPr>
          <w:rFonts w:ascii="Arial" w:cs="Arial" w:eastAsia="Arial" w:hAnsi="Arial"/>
          <w:color w:val="666666"/>
          <w:sz w:val="20"/>
          <w:szCs w:val="20"/>
        </w:rPr>
        <w:t xml:space="preserve">A TTL-style index on external_evidence_data_pool.freshnessExpiresAt invalidates stale signals. case_files.externalSignalSummary reflects whether minimum signal coverage was achieved before locking.</w:t>
      </w:r>
    </w:p>
    <w:p>
      <w:pPr>
        <w:spacing w:after="120" w:before="120"/>
        <w:jc w:val="center"/>
      </w:pPr>
      <w:r>
        <w:rPr>
          <w:rFonts w:ascii="Arial" w:cs="Arial" w:eastAsia="Arial" w:hAnsi="Arial"/>
          <w:b/>
          <w:bCs/>
          <w:color w:val="2E75B6"/>
          <w:sz w:val="24"/>
          <w:szCs w:val="24"/>
        </w:rPr>
        <w:t xml:space="preserve">  ▼  </w:t>
      </w:r>
      <w:r>
        <w:rPr>
          <w:rFonts w:ascii="Arial" w:cs="Arial" w:eastAsia="Arial" w:hAnsi="Arial"/>
          <w:color w:val="666666"/>
          <w:sz w:val="18"/>
          <w:szCs w:val="18"/>
        </w:rPr>
        <w:t xml:space="preserve">case_file locked → AI processing pipeline begins</w:t>
      </w:r>
      <w:r>
        <w:rPr>
          <w:rFonts w:ascii="Arial" w:cs="Arial" w:eastAsia="Arial" w:hAnsi="Arial"/>
          <w:b/>
          <w:bCs/>
          <w:color w:val="2E75B6"/>
          <w:sz w:val="24"/>
          <w:szCs w:val="24"/>
        </w:rPr>
        <w:t xml:space="preserve">  ▼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STEP 6</w:t>
            </w:r>
          </w:p>
        </w:tc>
        <w:tc>
          <w:tcPr>
            <w:tcW w:type="dxa" w:w="8560"/>
            <w:tcBorders>
              <w:top w:val="none" w:color="FFFFFF" w:sz="0"/>
              <w:left w:val="single" w:color="AAAAAA" w:sz="2"/>
              <w:bottom w:val="none" w:color="FFFFFF" w:sz="0"/>
              <w:right w:val="none" w:color="FFFFFF" w:sz="0"/>
            </w:tcBorders>
            <w:shd w:fill="D5E8F0" w:val="clear"/>
            <w:tcMar>
              <w:top w:type="dxa" w:w="80"/>
              <w:left w:type="dxa" w:w="200"/>
              <w:bottom w:type="dxa" w:w="80"/>
              <w:right w:type="dxa" w:w="120"/>
            </w:tcMar>
          </w:tcPr>
          <w:p>
            <w:r>
              <w:rPr>
                <w:rFonts w:ascii="Arial" w:cs="Arial" w:eastAsia="Arial" w:hAnsi="Arial"/>
                <w:b/>
                <w:bCs/>
                <w:color w:val="1F3A5F"/>
                <w:sz w:val="26"/>
                <w:szCs w:val="26"/>
              </w:rPr>
              <w:t xml:space="preserve">AI Processing — Scoring &amp; Contradiction</w:t>
            </w:r>
          </w:p>
          <w:p>
            <w:r>
              <w:rPr>
                <w:rFonts w:ascii="Arial" w:cs="Arial" w:eastAsia="Arial" w:hAnsi="Arial"/>
                <w:color w:val="666666"/>
                <w:sz w:val="20"/>
                <w:szCs w:val="20"/>
              </w:rPr>
              <w:t xml:space="preserve">Constraints scored · contradictions fired · red flags triggered · integrity assessed</w:t>
            </w:r>
          </w:p>
        </w:tc>
      </w:tr>
    </w:tbl>
    <w:p>
      <w:pPr>
        <w:spacing w:after="0" w:before="120"/>
      </w:pPr>
      <w:r>
        <w:t xml:space="preserve"/>
      </w:r>
    </w:p>
    <w:p>
      <w:pPr>
        <w:spacing w:after="80" w:before="40"/>
      </w:pPr>
      <w:r>
        <w:rPr>
          <w:rFonts w:ascii="Arial" w:cs="Arial" w:eastAsia="Arial" w:hAnsi="Arial"/>
          <w:color w:val="1F1F1F"/>
          <w:sz w:val="22"/>
          <w:szCs w:val="22"/>
        </w:rPr>
        <w:t xml:space="preserve">The core AI processing loop. The case_file is locked (isImmutable=true) and the Evaluation Library Registry resolves all taxonomy set IDs. Constraint scores are computed from MCQ answers, contradictions are evaluated against profile+inputs+signals, coverage gaps are penalised, and red flags are triggered. The accuracy scoring policy aggregates all penalties into a final score. Integrity eligibility rules determine the deliverability state. Risk objects (DROs) are mapped to triggers. Prompts are resolved per section and LLM calls are made.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In (written)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Out (emitted downstream)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case_files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aeuManifest, taxonomyVersions, runId — locked to LOCKED state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isImmutable=true, lockedAt timestamp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evaluation_library_registry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playbookVersionId + caseId + intentId (read-only)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Pointers to constraintSetId, contradictionSetId, coverageSetId, redFlagSetId, accuracyPolicyId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constraints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constraintSetId + computed scores from question answers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Band classification (STRONG/MODERATE/FRAGILE/CRITICAL), isBlockingConstraint result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constraint_question_mapping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constraintId → questionIds (read-only)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Normalised score per question, direction-adjusted, contributes to constraint total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contradictions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contradictionSetId + profile, inputs, signals evaluated against ruleJson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severityBand, accuracyPenaltyPoints, confidencePenaltyPoints, escalationTag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coverage_requirements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coverageSetId + aeuManifest (read-only)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missingPenaltyPoints, partialPenaltyPoints, stackingCapPoints per gap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red_flag_taxonomy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redFlagSetId + trigger conditions evaluated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penaltyPoints, escalationRequired, severityBand per triggered flag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accuracy_scoring_policy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accuracyPolicyId + all accumulated penalties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finalAccuracyScore = baseScore minus penalties, floored at floorScore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integrity_eligibility_rules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accuracyScore + anchors present in case_file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integrityState (COMPLETE/FULL/PARTIAL/MINIMAL), verdictDeliverable boolean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risk_constraint_map</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Triggered constraintId, contradictionId, redFlagId (read-only)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droId, confidenceImpact, activationMode — links triggers to named risk objects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dro_master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droId from risk_constraint_map (read-only)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riskTypeName, severityTier, reportProminence, remediationHorizon, userFacingLabel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guardrail_registry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Applicable sections + signals evaluated against ruleStatement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BLOCK action or penaltyPoints if guardrail violated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prompt_config_registry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sectionId + playbookVersionId (read-only)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systemPrompt, userPrompt, temperature, maxTokens, certaintyCapPercent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decision_assurance_sections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sectionId per report section (read-only)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certaintyCapPercent, minAccuracyRequired, fallbackPolicy per section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ras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One artifact written per sub-step (constraint scores, red flags, integrity pack, final report)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rasIds — full immutable audit trail of AI processing</w:t>
            </w:r>
          </w:p>
        </w:tc>
      </w:tr>
    </w:tbl>
    <w:p>
      <w:pPr>
        <w:spacing w:after="0" w:before="80"/>
      </w:pPr>
      <w:r>
        <w:t xml:space="preserve"/>
      </w:r>
    </w:p>
    <w:p>
      <w:pPr>
        <w:pBdr>
          <w:left w:val="single" w:color="2E75B6" w:sz="12" w:space="8"/>
        </w:pBdr>
        <w:spacing w:after="80" w:before="60"/>
        <w:ind w:left="360"/>
      </w:pPr>
      <w:r>
        <w:rPr>
          <w:rFonts w:ascii="Arial" w:cs="Arial" w:eastAsia="Arial" w:hAnsi="Arial"/>
          <w:color w:val="666666"/>
          <w:sz w:val="20"/>
          <w:szCs w:val="20"/>
        </w:rPr>
        <w:t xml:space="preserve">runs.status cycles through: EXTRACTING → CONTRA_CHECK → SIGNAL_PULL → SYNTHESIZING → INTEGRITY_COMPLETE. On any failure, failureStep and failureReason are written and status becomes PROCESSING_FAILED.</w:t>
      </w:r>
    </w:p>
    <w:p>
      <w:pPr>
        <w:spacing w:after="120" w:before="120"/>
        <w:jc w:val="center"/>
      </w:pPr>
      <w:r>
        <w:rPr>
          <w:rFonts w:ascii="Arial" w:cs="Arial" w:eastAsia="Arial" w:hAnsi="Arial"/>
          <w:b/>
          <w:bCs/>
          <w:color w:val="2E75B6"/>
          <w:sz w:val="24"/>
          <w:szCs w:val="24"/>
        </w:rPr>
        <w:t xml:space="preserve">  ▼  </w:t>
      </w:r>
      <w:r>
        <w:rPr>
          <w:rFonts w:ascii="Arial" w:cs="Arial" w:eastAsia="Arial" w:hAnsi="Arial"/>
          <w:color w:val="666666"/>
          <w:sz w:val="18"/>
          <w:szCs w:val="18"/>
        </w:rPr>
        <w:t xml:space="preserve">verdict logic runs → report generated → expert assigned</w:t>
      </w:r>
      <w:r>
        <w:rPr>
          <w:rFonts w:ascii="Arial" w:cs="Arial" w:eastAsia="Arial" w:hAnsi="Arial"/>
          <w:b/>
          <w:bCs/>
          <w:color w:val="2E75B6"/>
          <w:sz w:val="24"/>
          <w:szCs w:val="24"/>
        </w:rPr>
        <w:t xml:space="preserve">  ▼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STEP 7</w:t>
            </w:r>
          </w:p>
        </w:tc>
        <w:tc>
          <w:tcPr>
            <w:tcW w:type="dxa" w:w="8560"/>
            <w:tcBorders>
              <w:top w:val="none" w:color="FFFFFF" w:sz="0"/>
              <w:left w:val="single" w:color="AAAAAA" w:sz="2"/>
              <w:bottom w:val="none" w:color="FFFFFF" w:sz="0"/>
              <w:right w:val="none" w:color="FFFFFF" w:sz="0"/>
            </w:tcBorders>
            <w:shd w:fill="D5E8F0" w:val="clear"/>
            <w:tcMar>
              <w:top w:type="dxa" w:w="80"/>
              <w:left w:type="dxa" w:w="200"/>
              <w:bottom w:type="dxa" w:w="80"/>
              <w:right w:type="dxa" w:w="120"/>
            </w:tcMar>
          </w:tcPr>
          <w:p>
            <w:r>
              <w:rPr>
                <w:rFonts w:ascii="Arial" w:cs="Arial" w:eastAsia="Arial" w:hAnsi="Arial"/>
                <w:b/>
                <w:bCs/>
                <w:color w:val="1F3A5F"/>
                <w:sz w:val="26"/>
                <w:szCs w:val="26"/>
              </w:rPr>
              <w:t xml:space="preserve">Verdict, Expert Review &amp; Chat</w:t>
            </w:r>
          </w:p>
          <w:p>
            <w:r>
              <w:rPr>
                <w:rFonts w:ascii="Arial" w:cs="Arial" w:eastAsia="Arial" w:hAnsi="Arial"/>
                <w:color w:val="666666"/>
                <w:sz w:val="20"/>
                <w:szCs w:val="20"/>
              </w:rPr>
              <w:t xml:space="preserve">Verdict rule engine fires · Auditor assigned · chat window opens</w:t>
            </w:r>
          </w:p>
        </w:tc>
      </w:tr>
    </w:tbl>
    <w:p>
      <w:pPr>
        <w:spacing w:after="0" w:before="120"/>
      </w:pPr>
      <w:r>
        <w:t xml:space="preserve"/>
      </w:r>
    </w:p>
    <w:p>
      <w:pPr>
        <w:spacing w:after="80" w:before="40"/>
      </w:pPr>
      <w:r>
        <w:rPr>
          <w:rFonts w:ascii="Arial" w:cs="Arial" w:eastAsia="Arial" w:hAnsi="Arial"/>
          <w:color w:val="1F1F1F"/>
          <w:sz w:val="22"/>
          <w:szCs w:val="22"/>
        </w:rPr>
        <w:t xml:space="preserve">The verdict logic table evaluates priority-ordered rules against integrityState, accuracyScore, and constraint bands to produce PROCEED, PAUSE, or ABORT. An available Auditor is assigned based on caseCategory and caseload. A chat session opens between user and Auditor. Users can submit expert queries (charged against credit balance).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In (written)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Out (emitted downstream)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verdict_logic_table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integrityState, accuracyScore, constraint bands as inputs (read-only rule evaluation)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verdict (PROCEED / PAUSE / ABORT) via highest-priority matching rule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warnings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warningMappingId + triggered redFlagIds (read-only)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warningTitle, warningMessage, advisoryType, ctaText for inclusion in DAR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risk_auditor_registry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caseCategory + currentCaseload &lt; maxCaseload filter (read)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auditorId selected; dailyCaseloadCount++ and currentCaseload++ written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runs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expertId, expertAssignedAt, chatExpiryDate written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status → EXPERT_ASSIGNED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chat_messages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senderId, senderType (USER/EXPERT), runId, content, type (TEXT/AUDIO/FILE)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messageId, status lifecycle (SENT → DELIVERED → READ)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expert_queries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queryType, queryText, runId, userId, expertId, creditCost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answerText, answeredAt, answeredBy (auditorId); user_credits decremented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notifications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type=EXPERT_ASSIGNED to user; type=NEW_ASSIGNMENT to expert FCM token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Push notification delivered via FCM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ras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artifactType=EXPERT_REVIEW with qualityRating by admin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rasId with expert annotation stored</w:t>
            </w:r>
          </w:p>
        </w:tc>
      </w:tr>
    </w:tbl>
    <w:p>
      <w:pPr>
        <w:spacing w:after="0" w:before="80"/>
      </w:pPr>
      <w:r>
        <w:t xml:space="preserve"/>
      </w:r>
    </w:p>
    <w:p>
      <w:pPr>
        <w:pBdr>
          <w:left w:val="single" w:color="2E75B6" w:sz="12" w:space="8"/>
        </w:pBdr>
        <w:spacing w:after="80" w:before="60"/>
        <w:ind w:left="360"/>
      </w:pPr>
      <w:r>
        <w:rPr>
          <w:rFonts w:ascii="Arial" w:cs="Arial" w:eastAsia="Arial" w:hAnsi="Arial"/>
          <w:color w:val="666666"/>
          <w:sz w:val="20"/>
          <w:szCs w:val="20"/>
        </w:rPr>
        <w:t xml:space="preserve">SLA breach is tracked via runs.isSlaBreached (set when slaCommitmentHours is exceeded). Expert payouts are handled via risk_auditor_registry.upiId or bankDetails — outside the run lifecycle.</w:t>
      </w:r>
    </w:p>
    <w:p>
      <w:pPr>
        <w:spacing w:after="120" w:before="120"/>
        <w:jc w:val="center"/>
      </w:pPr>
      <w:r>
        <w:rPr>
          <w:rFonts w:ascii="Arial" w:cs="Arial" w:eastAsia="Arial" w:hAnsi="Arial"/>
          <w:b/>
          <w:bCs/>
          <w:color w:val="2E75B6"/>
          <w:sz w:val="24"/>
          <w:szCs w:val="24"/>
        </w:rPr>
        <w:t xml:space="preserve">  ▼  </w:t>
      </w:r>
      <w:r>
        <w:rPr>
          <w:rFonts w:ascii="Arial" w:cs="Arial" w:eastAsia="Arial" w:hAnsi="Arial"/>
          <w:color w:val="666666"/>
          <w:sz w:val="18"/>
          <w:szCs w:val="18"/>
        </w:rPr>
        <w:t xml:space="preserve">REPORT_COMPLETE → DAR PDF generated → delivered to user</w:t>
      </w:r>
      <w:r>
        <w:rPr>
          <w:rFonts w:ascii="Arial" w:cs="Arial" w:eastAsia="Arial" w:hAnsi="Arial"/>
          <w:b/>
          <w:bCs/>
          <w:color w:val="2E75B6"/>
          <w:sz w:val="24"/>
          <w:szCs w:val="24"/>
        </w:rPr>
        <w:t xml:space="preserve">  ▼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STEP 8</w:t>
            </w:r>
          </w:p>
        </w:tc>
        <w:tc>
          <w:tcPr>
            <w:tcW w:type="dxa" w:w="8560"/>
            <w:tcBorders>
              <w:top w:val="none" w:color="FFFFFF" w:sz="0"/>
              <w:left w:val="single" w:color="AAAAAA" w:sz="2"/>
              <w:bottom w:val="none" w:color="FFFFFF" w:sz="0"/>
              <w:right w:val="none" w:color="FFFFFF" w:sz="0"/>
            </w:tcBorders>
            <w:shd w:fill="D5E8F0" w:val="clear"/>
            <w:tcMar>
              <w:top w:type="dxa" w:w="80"/>
              <w:left w:type="dxa" w:w="200"/>
              <w:bottom w:type="dxa" w:w="80"/>
              <w:right w:type="dxa" w:w="120"/>
            </w:tcMar>
          </w:tcPr>
          <w:p>
            <w:r>
              <w:rPr>
                <w:rFonts w:ascii="Arial" w:cs="Arial" w:eastAsia="Arial" w:hAnsi="Arial"/>
                <w:b/>
                <w:bCs/>
                <w:color w:val="1F3A5F"/>
                <w:sz w:val="26"/>
                <w:szCs w:val="26"/>
              </w:rPr>
              <w:t xml:space="preserve">Delivery &amp; Post-Run</w:t>
            </w:r>
          </w:p>
          <w:p>
            <w:r>
              <w:rPr>
                <w:rFonts w:ascii="Arial" w:cs="Arial" w:eastAsia="Arial" w:hAnsi="Arial"/>
                <w:color w:val="666666"/>
                <w:sz w:val="20"/>
                <w:szCs w:val="20"/>
              </w:rPr>
              <w:t xml:space="preserve">DAR PDF delivered · clocks updated · re-run eligibility configured</w:t>
            </w:r>
          </w:p>
        </w:tc>
      </w:tr>
    </w:tbl>
    <w:p>
      <w:pPr>
        <w:spacing w:after="0" w:before="120"/>
      </w:pPr>
      <w:r>
        <w:t xml:space="preserve"/>
      </w:r>
    </w:p>
    <w:p>
      <w:pPr>
        <w:spacing w:after="80" w:before="40"/>
      </w:pPr>
      <w:r>
        <w:rPr>
          <w:rFonts w:ascii="Arial" w:cs="Arial" w:eastAsia="Arial" w:hAnsi="Arial"/>
          <w:color w:val="1F1F1F"/>
          <w:sz w:val="22"/>
          <w:szCs w:val="22"/>
        </w:rPr>
        <w:t xml:space="preserve">The final report is written to runs.finalReport, the PDF is generated and stored at reportPdfUrl. Career clocks are updated with outcomes from this run. Case file is marked eligible for future delta comparison. Re-run setup governs whether a discounted or free re-run is offered after verdict expiry.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In (written)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Out (emitted downstream)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runs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finalReport (Mixed), reportPdfUrl, completedAt, verdict written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status → REPORT_COMPLETE; reRunSetup populated (eligibility, expiry, priceOverride)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ras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artifactType=FINAL_REPORT, full artifactJson of DAR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rasId; qualityRating may be added by admin post-delivery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user_clocks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Updated 4 scores derived from run outcome, lastCalculatedBy=CASE_RUN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validityState → ACTIVE_CASE; caseValidUntil and effectiveValidUntil set; daysLeft computed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clock_history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Snapshot: 4 scores, triggeredBy=CASE_RUN, pulseId, calculatedAt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Permanent historical record for trend charts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case_files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isEligibleForComparison=true, previousCaseFileId linked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Enables delta scoring on future re-run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notifications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type=REPORT_READY to user; type=VERDICT_EXPIRY scheduled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Push notification to user FCM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faqs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Static read-only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Surfaced in report delivery screen and help centre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legalcontents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Static read-only (TERMS, PRIVACY, REFUND, DISCLAIMER)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Linked from report footer and legal section</w:t>
            </w:r>
          </w:p>
        </w:tc>
      </w:tr>
    </w:tbl>
    <w:p>
      <w:pPr>
        <w:spacing w:after="0" w:before="80"/>
      </w:pPr>
      <w:r>
        <w:t xml:space="preserve"/>
      </w:r>
    </w:p>
    <w:p>
      <w:pPr>
        <w:pBdr>
          <w:left w:val="single" w:color="2E75B6" w:sz="12" w:space="8"/>
        </w:pBdr>
        <w:spacing w:after="80" w:before="60"/>
        <w:ind w:left="360"/>
      </w:pPr>
      <w:r>
        <w:rPr>
          <w:rFonts w:ascii="Arial" w:cs="Arial" w:eastAsia="Arial" w:hAnsi="Arial"/>
          <w:color w:val="666666"/>
          <w:sz w:val="20"/>
          <w:szCs w:val="20"/>
        </w:rPr>
        <w:t xml:space="preserve">After the re-run window expires, user_clocks.validityState reverts to FROZEN, prompting re-engagement. clock_history provides the full longitudinal dataset for career health trend visualisation.</w:t>
      </w:r>
    </w:p>
    <w:p>
      <w:r>
        <w:br w:type="page"/>
      </w:r>
    </w:p>
    <w:p>
      <w:pPr>
        <w:pStyle w:val="Heading1"/>
        <w:pBdr>
          <w:bottom w:val="single" w:color="2E75B6" w:sz="6" w:space="4"/>
        </w:pBdr>
        <w:spacing w:after="120" w:before="360"/>
      </w:pPr>
      <w:r>
        <w:rPr>
          <w:rFonts w:ascii="Arial" w:cs="Arial" w:eastAsia="Arial" w:hAnsi="Arial"/>
          <w:b/>
          <w:bCs/>
          <w:color w:val="1F3A5F"/>
          <w:sz w:val="32"/>
          <w:szCs w:val="32"/>
        </w:rPr>
        <w:t xml:space="preserve">Cross-Cutting Concerns</w:t>
      </w:r>
    </w:p>
    <w:p>
      <w:pPr>
        <w:pStyle w:val="Heading2"/>
        <w:spacing w:after="80" w:before="280"/>
      </w:pPr>
      <w:r>
        <w:rPr>
          <w:rFonts w:ascii="Arial" w:cs="Arial" w:eastAsia="Arial" w:hAnsi="Arial"/>
          <w:b/>
          <w:bCs/>
          <w:color w:val="2E75B6"/>
          <w:sz w:val="26"/>
          <w:szCs w:val="26"/>
        </w:rPr>
        <w:t xml:space="preserve">Notification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In (written)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Out (emitted downstream)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INTAKE_COMPLETE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Intake step finished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Prompt user to proceed to signal collection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PROCESSING_SUCCESS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AI pipeline completed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Notify report is being reviewed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PROCESSING_FAILED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failureStep written to runs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Alert user; trigger retry flow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EXPERT_ASSIGNED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expertId written to runs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Notify user and auditor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REPORT_READY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reportPdfUrl available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Deep-link user to DAR screen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VERDICT_EXPIRY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reRunSetup.freeReRunExpiryDate approaching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Re-engagement nudge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CONTRADICTION_ALERT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Contradiction with HIGH/CRITICAL severity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Alert user to data conflict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MISSING_DATA_ALERT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Coverage gap detected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Prompt user to supply missing evidence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EXPERT_REPLY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Expert query answered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Notify user of answer</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RAS Artifact Lifecycle</w:t>
      </w:r>
    </w:p>
    <w:p>
      <w:pPr>
        <w:spacing w:after="80" w:before="40"/>
      </w:pPr>
      <w:r>
        <w:rPr>
          <w:rFonts w:ascii="Arial" w:cs="Arial" w:eastAsia="Arial" w:hAnsi="Arial"/>
          <w:color w:val="1F1F1F"/>
          <w:sz w:val="22"/>
          <w:szCs w:val="22"/>
        </w:rPr>
        <w:t xml:space="preserve">The ras (Run Artifact Store) collection is the immutable ledger for every processing milestone. Each significant status transition in runs triggers a RAS write. The artifact sequence for a complete run is:</w:t>
      </w:r>
    </w:p>
    <w:p>
      <w:pPr>
        <w:pStyle w:val="ListParagraph"/>
        <w:numPr>
          <w:ilvl w:val="0"/>
          <w:numId w:val="2"/>
        </w:numPr>
      </w:pPr>
      <w:r>
        <w:rPr>
          <w:rFonts w:ascii="Arial" w:cs="Arial" w:eastAsia="Arial" w:hAnsi="Arial"/>
          <w:sz w:val="22"/>
          <w:szCs w:val="22"/>
        </w:rPr>
        <w:t xml:space="preserve">CV_RAW_TEXT → CV_NORMALISED: Raw and parsed CV data</w:t>
      </w:r>
    </w:p>
    <w:p>
      <w:pPr>
        <w:pStyle w:val="ListParagraph"/>
        <w:numPr>
          <w:ilvl w:val="0"/>
          <w:numId w:val="2"/>
        </w:numPr>
      </w:pPr>
      <w:r>
        <w:rPr>
          <w:rFonts w:ascii="Arial" w:cs="Arial" w:eastAsia="Arial" w:hAnsi="Arial"/>
          <w:sz w:val="22"/>
          <w:szCs w:val="22"/>
        </w:rPr>
        <w:t xml:space="preserve">MISSING_FIELD_QUESTIONS: Questions generated for gaps in CV</w:t>
      </w:r>
    </w:p>
    <w:p>
      <w:pPr>
        <w:pStyle w:val="ListParagraph"/>
        <w:numPr>
          <w:ilvl w:val="0"/>
          <w:numId w:val="2"/>
        </w:numPr>
      </w:pPr>
      <w:r>
        <w:rPr>
          <w:rFonts w:ascii="Arial" w:cs="Arial" w:eastAsia="Arial" w:hAnsi="Arial"/>
          <w:sz w:val="22"/>
          <w:szCs w:val="22"/>
        </w:rPr>
        <w:t xml:space="preserve">PROFILE_CONFIRMED: Confirmed user profile snapshot</w:t>
      </w:r>
    </w:p>
    <w:p>
      <w:pPr>
        <w:pStyle w:val="ListParagraph"/>
        <w:numPr>
          <w:ilvl w:val="0"/>
          <w:numId w:val="2"/>
        </w:numPr>
      </w:pPr>
      <w:r>
        <w:rPr>
          <w:rFonts w:ascii="Arial" w:cs="Arial" w:eastAsia="Arial" w:hAnsi="Arial"/>
          <w:sz w:val="22"/>
          <w:szCs w:val="22"/>
        </w:rPr>
        <w:t xml:space="preserve">OBJECTIVE_INPUTS_CAPTURED: All MCQ answers</w:t>
      </w:r>
    </w:p>
    <w:p>
      <w:pPr>
        <w:pStyle w:val="ListParagraph"/>
        <w:numPr>
          <w:ilvl w:val="0"/>
          <w:numId w:val="2"/>
        </w:numPr>
      </w:pPr>
      <w:r>
        <w:rPr>
          <w:rFonts w:ascii="Arial" w:cs="Arial" w:eastAsia="Arial" w:hAnsi="Arial"/>
          <w:sz w:val="22"/>
          <w:szCs w:val="22"/>
        </w:rPr>
        <w:t xml:space="preserve">EXTERNAL_SIGNALS_CAPTURED: Market signal data</w:t>
      </w:r>
    </w:p>
    <w:p>
      <w:pPr>
        <w:pStyle w:val="ListParagraph"/>
        <w:numPr>
          <w:ilvl w:val="0"/>
          <w:numId w:val="2"/>
        </w:numPr>
      </w:pPr>
      <w:r>
        <w:rPr>
          <w:rFonts w:ascii="Arial" w:cs="Arial" w:eastAsia="Arial" w:hAnsi="Arial"/>
          <w:sz w:val="22"/>
          <w:szCs w:val="22"/>
        </w:rPr>
        <w:t xml:space="preserve">CONSTRAINT_SCORES: Scored constraint bands</w:t>
      </w:r>
    </w:p>
    <w:p>
      <w:pPr>
        <w:pStyle w:val="ListParagraph"/>
        <w:numPr>
          <w:ilvl w:val="0"/>
          <w:numId w:val="2"/>
        </w:numPr>
      </w:pPr>
      <w:r>
        <w:rPr>
          <w:rFonts w:ascii="Arial" w:cs="Arial" w:eastAsia="Arial" w:hAnsi="Arial"/>
          <w:sz w:val="22"/>
          <w:szCs w:val="22"/>
        </w:rPr>
        <w:t xml:space="preserve">RED_FLAGS_TRIGGERED: All triggered red flags with penalties</w:t>
      </w:r>
    </w:p>
    <w:p>
      <w:pPr>
        <w:pStyle w:val="ListParagraph"/>
        <w:numPr>
          <w:ilvl w:val="0"/>
          <w:numId w:val="2"/>
        </w:numPr>
      </w:pPr>
      <w:r>
        <w:rPr>
          <w:rFonts w:ascii="Arial" w:cs="Arial" w:eastAsia="Arial" w:hAnsi="Arial"/>
          <w:sz w:val="22"/>
          <w:szCs w:val="22"/>
        </w:rPr>
        <w:t xml:space="preserve">INTEGRITY_PACK: Final accuracy score, integrity state, verdictDeliverable</w:t>
      </w:r>
    </w:p>
    <w:p>
      <w:pPr>
        <w:pStyle w:val="ListParagraph"/>
        <w:numPr>
          <w:ilvl w:val="0"/>
          <w:numId w:val="2"/>
        </w:numPr>
      </w:pPr>
      <w:r>
        <w:rPr>
          <w:rFonts w:ascii="Arial" w:cs="Arial" w:eastAsia="Arial" w:hAnsi="Arial"/>
          <w:sz w:val="22"/>
          <w:szCs w:val="22"/>
        </w:rPr>
        <w:t xml:space="preserve">REPORT_GENERATED → FINAL_REPORT: Full DAR with all section outputs</w:t>
      </w:r>
    </w:p>
    <w:p>
      <w:pPr>
        <w:pStyle w:val="ListParagraph"/>
        <w:numPr>
          <w:ilvl w:val="0"/>
          <w:numId w:val="2"/>
        </w:numPr>
      </w:pPr>
      <w:r>
        <w:rPr>
          <w:rFonts w:ascii="Arial" w:cs="Arial" w:eastAsia="Arial" w:hAnsi="Arial"/>
          <w:sz w:val="22"/>
          <w:szCs w:val="22"/>
        </w:rPr>
        <w:t xml:space="preserve">EXPERT_REVIEW: Expert annotations and quality rating</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Clock Validity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In (written)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Out (emitted downstream)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FROZEN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No active run or clock data expired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Home screen shows greyed clocks; re-engagement prompt shown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ACTIVE_CLOCK</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MarketPulse or HAWK trigger updated clocks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Live clock scores shown; clockValidUntil governs expiry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ACTIVE_CASE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Run completed and scores updated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Case-derived scores shown; caseValidUntil governs expiry; re-run eligible</w:t>
            </w:r>
          </w:p>
        </w:tc>
      </w:tr>
    </w:tbl>
    <w:p>
      <w:pPr>
        <w:spacing w:after="0" w:before="80"/>
      </w:pPr>
      <w:r>
        <w:t xml:space="preserve"/>
      </w:r>
    </w:p>
    <w:p>
      <w:pPr>
        <w:pBdr>
          <w:left w:val="single" w:color="2E75B6" w:sz="12" w:space="8"/>
        </w:pBdr>
        <w:spacing w:after="80" w:before="60"/>
        <w:ind w:left="360"/>
      </w:pPr>
      <w:r>
        <w:rPr>
          <w:rFonts w:ascii="Arial" w:cs="Arial" w:eastAsia="Arial" w:hAnsi="Arial"/>
          <w:color w:val="666666"/>
          <w:sz w:val="20"/>
          <w:szCs w:val="20"/>
        </w:rPr>
        <w:t xml:space="preserve">effectiveValidUntil = max(caseValidUntil, clockValidUntil). daysLeft is computed at read time. clock_history records every transition for longitudinal trend charts.</w:t>
      </w:r>
    </w:p>
    <w:p>
      <w:r>
        <w:br w:type="page"/>
      </w:r>
    </w:p>
    <w:p>
      <w:pPr>
        <w:pStyle w:val="Heading1"/>
        <w:pBdr>
          <w:bottom w:val="single" w:color="2E75B6" w:sz="6" w:space="4"/>
        </w:pBdr>
        <w:spacing w:after="120" w:before="360"/>
      </w:pPr>
      <w:r>
        <w:rPr>
          <w:rFonts w:ascii="Arial" w:cs="Arial" w:eastAsia="Arial" w:hAnsi="Arial"/>
          <w:b/>
          <w:bCs/>
          <w:color w:val="1F3A5F"/>
          <w:sz w:val="32"/>
          <w:szCs w:val="32"/>
        </w:rPr>
        <w:t xml:space="preserve">Collection Index</w:t>
      </w:r>
    </w:p>
    <w:p>
      <w:pPr>
        <w:spacing w:after="80" w:before="40"/>
      </w:pPr>
      <w:r>
        <w:rPr>
          <w:rFonts w:ascii="Arial" w:cs="Arial" w:eastAsia="Arial" w:hAnsi="Arial"/>
          <w:color w:val="666666"/>
          <w:sz w:val="22"/>
          <w:szCs w:val="22"/>
        </w:rPr>
        <w:t xml:space="preserve">All 51 MongoDB collections, their model files, and the pipeline step(s) where they are primarily written.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In (written)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Data Out (emitted downstream)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users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user.model.js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1 — identity spine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admins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admin.model.js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1 — admin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otps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otp.model.js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1 — 2FA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auditlogs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auditLog.model.js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1 + all steps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document_uploads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DocumentUploads.model.js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2 — CV parsing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user_profiles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UserProfile.model.js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2 — profile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document_file_rules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DocumentFileRules.model.js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2 config (read)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user_clocks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UserClocks.model.js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2 + Step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market_pulses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MarketPulse.model.js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2 config (read)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clock_history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ClockHistory.model.js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2 + Step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case_registry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CaseRegistry.model.js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3 config (read)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intent_taxonomy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IntentTaxonomy.model.js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3 config (read)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case_intent_config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CaseIntentConfig.model.js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3 config (read)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payments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Payments.model.js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3 — payment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invoices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Invoice.model.js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3 — billing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finance_ledger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Ledger.model.js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3 — accounting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runs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Runs.model.js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3 created; updated all steps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user_credits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UserCredits.model.js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3 + expert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playbooks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Playbooks.model.js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3 config (read)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mandatory_objective_input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MandatoryObjectiveInput.model.js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4 config (read)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moi_question_mapping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MoiQuestionMapping.model.js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4 config (read)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dependency_rules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DependencyRules.model.js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4 — question gating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questions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Questions.model.js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4 config (read)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external_signal_taxonomy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ExternalSignalTaxonomy.model.js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5 config (read)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source_registry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SourceRegistry.model.js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5 config (read)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external_evidence_data_pool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ExternalEvidenceDataPool.model.js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5 — signals written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data_pattern_key_taxonomy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DataPatternKeyTaxonomy.model.js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5 — pattern scoring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case_files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CaseFile.model.js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5 + Step 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evaluation_library_registry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EvaluationLibraryRegistry.model.js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6 config (read)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constraints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Constraints.model.js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6 — scoring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constraint_question_mapping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ConstraintQuestionMapping.model.js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6 config (read)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contradictions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Contradictions.model.js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6 — contra 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coverage_requirements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CoverageRequirements.model.js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6 — coverage gaps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red_flag_taxonomy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RedFlagTaxonomy.model.js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6 — red flags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accuracy_scoring_policy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AccuracyScoringPolicy.model.js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6 — final score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integrity_eligibility_rules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IntegrityEligibilityRules.model.js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6 — integrity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risk_constraint_map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RiskConstraintMap.model.js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6 — risk mapping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dro_master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DroMaster.model.js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6 config (read)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guardrail_registry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GuardrailRegistry.model.js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6 — guardrails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prompt_config_registry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PromptConfigRegistry.model.js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6 — LLM prompts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decision_assurance_sections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DecisionAssuranceSections.model.js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6 config (read)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ras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Ras.model.js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Steps 4–8 artifact 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verdict_logic_table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VerdictLogicTable.model.js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7 — verdict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warnings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Warnings.model.js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7 config (read)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risk_auditor_registry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RiskAuditorRegistry.model.js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7 — expert assignment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chat_messages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ChatMessage.model.js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7 — chat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expert_queries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ExpertQuery.model.js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7 — Q&amp;A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notifications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Notification.model.js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Steps 4, 7,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faqs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65C0"/>
                <w:sz w:val="19"/>
                <w:szCs w:val="19"/>
              </w:rPr>
              <w:t xml:space="preserve">FAQ.model.js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9"/>
                <w:szCs w:val="19"/>
              </w:rPr>
              <w:t xml:space="preserve">Step 8 static (read)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legalcontents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565C0"/>
                <w:sz w:val="19"/>
                <w:szCs w:val="19"/>
              </w:rPr>
              <w:t xml:space="preserve">LegalContent.model.js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D32"/>
                <w:sz w:val="19"/>
                <w:szCs w:val="19"/>
              </w:rPr>
              <w:t xml:space="preserve">Step 8 static (read)</w:t>
            </w:r>
          </w:p>
        </w:tc>
      </w:tr>
    </w:tbl>
    <w:p>
      <w:pPr>
        <w:spacing w:after="0" w:before="200"/>
      </w:pPr>
      <w:r>
        <w:t xml:space="preserve"/>
      </w:r>
    </w:p>
    <w:p>
      <w:pPr>
        <w:pBdr>
          <w:top w:val="single" w:color="CCCCCC" w:sz="4" w:space="4"/>
        </w:pBdr>
        <w:spacing w:before="120"/>
        <w:jc w:val="center"/>
      </w:pPr>
      <w:r>
        <w:rPr>
          <w:rFonts w:ascii="Arial" w:cs="Arial" w:eastAsia="Arial" w:hAnsi="Arial"/>
          <w:color w:val="666666"/>
          <w:sz w:val="18"/>
          <w:szCs w:val="18"/>
        </w:rPr>
        <w:t xml:space="preserve">Hawksyn Data Flow Reference  —  Confidential Internal Document</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Hawksyn Data Flow Reference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2026-04-30T09:49:53.304Z</dcterms:created>
  <dcterms:modified xsi:type="dcterms:W3CDTF">2026-04-30T09:49:53.305Z</dcterms:modified>
</cp:coreProperties>
</file>

<file path=docProps/custom.xml><?xml version="1.0" encoding="utf-8"?>
<Properties xmlns="http://schemas.openxmlformats.org/officeDocument/2006/custom-properties" xmlns:vt="http://schemas.openxmlformats.org/officeDocument/2006/docPropsVTypes"/>
</file>