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 Department of Computer Systems Engineering</w:t>
      </w:r>
    </w:p>
    <w:p>
      <w:pPr>
        <w:spacing w:after="80"/>
        <w:jc w:val="center"/>
      </w:pPr>
      <w:r>
        <w:rPr>
          <w:b/>
          <w:bCs/>
          <w:color w:val="003054"/>
          <w:sz w:val="32"/>
          <w:szCs w:val="32"/>
        </w:rPr>
        <w:t xml:space="preserve">IE3122 – Network Security</w:t>
      </w:r>
    </w:p>
    <w:p>
      <w:pPr>
        <w:spacing w:after="300"/>
        <w:jc w:val="center"/>
      </w:pPr>
      <w:r>
        <w:rPr>
          <w:b/>
          <w:bCs/>
          <w:color w:val="0070C0"/>
          <w:sz w:val="26"/>
          <w:szCs w:val="26"/>
        </w:rPr>
        <w:t xml:space="preserve">Week 1 Lab Guide: Security Landscape &amp; Career Orientation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color w:val="FFFFFF"/>
              </w:rPr>
              <w:t xml:space="preserve">Field</w:t>
            </w:r>
          </w:p>
        </w:tc>
        <w:tc>
          <w:tcPr>
            <w:tcW w:type="dxa" w:w="6950"/>
            <w:shd w:fill="003054" w:color="auto" w:val="clear"/>
            <w:tcMar>
              <w:top w:type="dxa" w:w="80"/>
              <w:left w:type="dxa" w:w="100"/>
              <w:bottom w:type="dxa" w:w="80"/>
              <w:right w:type="dxa" w:w="100"/>
            </w:tcMar>
          </w:tcPr>
          <w:p>
            <w:r>
              <w:rPr>
                <w:b/>
                <w:bCs/>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color w:val="000000"/>
              </w:rPr>
              <w:t xml:space="preserve">Week 1 — Module &amp; Lecturer Introduction / Networking Revision</w:t>
            </w:r>
          </w:p>
        </w:tc>
      </w:tr>
      <w:tr>
        <w:tc>
          <w:tcPr>
            <w:tcW w:type="dxa" w:w="2400"/>
            <w:shd w:fill="F2F4F7" w:color="auto" w:val="clear"/>
            <w:tcMar>
              <w:top w:type="dxa" w:w="80"/>
              <w:left w:type="dxa" w:w="100"/>
              <w:bottom w:type="dxa" w:w="80"/>
              <w:right w:type="dxa" w:w="100"/>
            </w:tcMar>
          </w:tcPr>
          <w:p>
            <w:r>
              <w:rPr>
                <w:b w:val="false"/>
                <w:bCs w:val="false"/>
                <w:color w:val="000000"/>
              </w:rPr>
              <w:t xml:space="preserve">Runs in</w:t>
            </w:r>
          </w:p>
        </w:tc>
        <w:tc>
          <w:tcPr>
            <w:tcW w:type="dxa" w:w="6950"/>
            <w:shd w:fill="F2F4F7" w:color="auto" w:val="clear"/>
            <w:tcMar>
              <w:top w:type="dxa" w:w="80"/>
              <w:left w:type="dxa" w:w="100"/>
              <w:bottom w:type="dxa" w:w="80"/>
              <w:right w:type="dxa" w:w="100"/>
            </w:tcMar>
          </w:tcPr>
          <w:p>
            <w:r>
              <w:rPr>
                <w:b w:val="false"/>
                <w:bCs w:val="false"/>
                <w:color w:val="000000"/>
              </w:rPr>
              <w:t xml:space="preserve">Week 1 lab session (no lecture content trails into Week 1, so this is a standalone orientation lab)</w:t>
            </w:r>
          </w:p>
        </w:tc>
      </w:tr>
      <w:tr>
        <w:tc>
          <w:tcPr>
            <w:tcW w:type="dxa" w:w="2400"/>
            <w:shd w:fill="FFFFFF" w:color="auto" w:val="clear"/>
            <w:tcMar>
              <w:top w:type="dxa" w:w="80"/>
              <w:left w:type="dxa" w:w="100"/>
              <w:bottom w:type="dxa" w:w="80"/>
              <w:right w:type="dxa" w:w="100"/>
            </w:tcMar>
          </w:tcPr>
          <w:p>
            <w:r>
              <w:rPr>
                <w:b w:val="false"/>
                <w:b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color w:val="000000"/>
              </w:rPr>
              <w:t xml:space="preserve">Independent research — no Packet Tracer/GNS3 required this week</w:t>
            </w:r>
          </w:p>
        </w:tc>
      </w:tr>
      <w:tr>
        <w:tc>
          <w:tcPr>
            <w:tcW w:type="dxa" w:w="2400"/>
            <w:shd w:fill="F2F4F7" w:color="auto" w:val="clear"/>
            <w:tcMar>
              <w:top w:type="dxa" w:w="80"/>
              <w:left w:type="dxa" w:w="100"/>
              <w:bottom w:type="dxa" w:w="80"/>
              <w:right w:type="dxa" w:w="100"/>
            </w:tcMar>
          </w:tcPr>
          <w:p>
            <w:r>
              <w:rPr>
                <w:b w:val="false"/>
                <w:b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color w:val="000000"/>
              </w:rPr>
              <w:t xml:space="preserve">Underpins LO1 (describing vulnerabilities/attacks) and LO3 (analysing requirements &amp; communicating security needs)</w:t>
            </w:r>
          </w:p>
        </w:tc>
      </w:tr>
      <w:tr>
        <w:tc>
          <w:tcPr>
            <w:tcW w:type="dxa" w:w="2400"/>
            <w:shd w:fill="FFFFFF" w:color="auto" w:val="clear"/>
            <w:tcMar>
              <w:top w:type="dxa" w:w="80"/>
              <w:left w:type="dxa" w:w="100"/>
              <w:bottom w:type="dxa" w:w="80"/>
              <w:right w:type="dxa" w:w="100"/>
            </w:tcMar>
          </w:tcPr>
          <w:p>
            <w:r>
              <w:rPr>
                <w:b w:val="false"/>
                <w:bCs w:val="false"/>
                <w:color w:val="000000"/>
              </w:rPr>
              <w:t xml:space="preserve">Submission</w:t>
            </w:r>
          </w:p>
        </w:tc>
        <w:tc>
          <w:tcPr>
            <w:tcW w:type="dxa" w:w="6950"/>
            <w:shd w:fill="FFFFFF" w:color="auto" w:val="clear"/>
            <w:tcMar>
              <w:top w:type="dxa" w:w="80"/>
              <w:left w:type="dxa" w:w="100"/>
              <w:bottom w:type="dxa" w:w="80"/>
              <w:right w:type="dxa" w:w="100"/>
            </w:tcMar>
          </w:tcPr>
          <w:p>
            <w:r>
              <w:rPr>
                <w:b w:val="false"/>
                <w:bCs w:val="false"/>
                <w:color w:val="000000"/>
              </w:rPr>
              <w:t xml:space="preserve">Completed answer sheet (this document, filled in) — submission method per course page</w:t>
            </w:r>
          </w:p>
        </w:tc>
      </w:tr>
    </w:tbl>
    <w:p>
      <w:pPr>
        <w:spacing w:after="200"/>
      </w:pPr>
    </w:p>
    <w:p>
      <w:pPr>
        <w:spacing w:after="160"/>
      </w:pPr>
      <w:r>
        <w:t xml:space="preserve">This week has no lecture content to trail into a lab, so instead of a Packet Tracer exercise, this session orients you to two things every security professional needs from day one: how real breaches actually happen, and what the job market expects of you. Part A analyses recent, real-world network security incidents. Part B has you scan the current job market to see how much of what you're about to learn actually shows up in job requirements.</w:t>
      </w:r>
    </w:p>
    <w:p>
      <w:r>
        <w:br w:type="page"/>
      </w:r>
    </w:p>
    <w:p>
      <w:pPr>
        <w:pStyle w:val="Heading1"/>
        <w:spacing w:after="160" w:before="320"/>
      </w:pPr>
      <w:r>
        <w:t xml:space="preserve">Part A — Recent Network Security Incident Case Studies</w:t>
      </w:r>
    </w:p>
    <w:p>
      <w:pPr>
        <w:spacing w:after="160"/>
      </w:pPr>
      <w:r>
        <w:t xml:space="preserve">Below are four real, recently disclosed network security incidents. For each one: read the source link, then answer the questions in your own words. These questions connect the incident back to this week's networking revision and to the module's Learning Outcomes — don't just describe what happened, explain the network security concept it illustrates.</w:t>
      </w:r>
    </w:p>
    <w:p>
      <w:pPr>
        <w:spacing w:after="160"/>
      </w:pPr>
      <w:r>
        <w:rPr>
          <w:i/>
          <w:iCs/>
          <w:color w:val="6B7682"/>
          <w:sz w:val="20"/>
          <w:szCs w:val="20"/>
        </w:rPr>
        <w:t xml:space="preserve">Note: summaries below are provided as orientation — you are expected to open the source link and read the original reporting before answering, as some questions require detail beyond the summary.</w:t>
      </w:r>
    </w:p>
    <w:p>
      <w:pPr>
        <w:pStyle w:val="Heading2"/>
        <w:spacing w:after="120" w:before="260"/>
      </w:pPr>
      <w:r>
        <w:t xml:space="preserve">Incident 1: UK Retail Ransomware Campaign (Marks &amp; Spencer, Co-op, Harrods)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color w:val="FFFFFF"/>
              </w:rPr>
              <w:t xml:space="preserve">Field</w:t>
            </w:r>
          </w:p>
        </w:tc>
        <w:tc>
          <w:tcPr>
            <w:tcW w:type="dxa" w:w="6950"/>
            <w:shd w:fill="003054" w:color="auto" w:val="clear"/>
            <w:tcMar>
              <w:top w:type="dxa" w:w="80"/>
              <w:left w:type="dxa" w:w="100"/>
              <w:bottom w:type="dxa" w:w="80"/>
              <w:right w:type="dxa" w:w="100"/>
            </w:tcMar>
          </w:tcPr>
          <w:p>
            <w:r>
              <w:rPr>
                <w:b/>
                <w:bCs/>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color w:val="000000"/>
              </w:rPr>
              <w:t xml:space="preserve">April–May 2025</w:t>
            </w:r>
          </w:p>
        </w:tc>
      </w:tr>
      <w:tr>
        <w:tc>
          <w:tcPr>
            <w:tcW w:type="dxa" w:w="2400"/>
            <w:shd w:fill="F2F4F7" w:color="auto" w:val="clear"/>
            <w:tcMar>
              <w:top w:type="dxa" w:w="80"/>
              <w:left w:type="dxa" w:w="100"/>
              <w:bottom w:type="dxa" w:w="80"/>
              <w:right w:type="dxa" w:w="100"/>
            </w:tcMar>
          </w:tcPr>
          <w:p>
            <w:r>
              <w:rPr>
                <w:b w:val="false"/>
                <w:bCs w:val="false"/>
                <w:color w:val="000000"/>
              </w:rPr>
              <w:t xml:space="preserve">Attack vector</w:t>
            </w:r>
          </w:p>
        </w:tc>
        <w:tc>
          <w:tcPr>
            <w:tcW w:type="dxa" w:w="6950"/>
            <w:shd w:fill="F2F4F7" w:color="auto" w:val="clear"/>
            <w:tcMar>
              <w:top w:type="dxa" w:w="80"/>
              <w:left w:type="dxa" w:w="100"/>
              <w:bottom w:type="dxa" w:w="80"/>
              <w:right w:type="dxa" w:w="100"/>
            </w:tcMar>
          </w:tcPr>
          <w:p>
            <w:r>
              <w:rPr>
                <w:b w:val="false"/>
                <w:bCs w:val="false"/>
                <w:color w:val="000000"/>
              </w:rPr>
              <w:t xml:space="preserve">Social engineering / help-desk manipulation, third-party access</w:t>
            </w:r>
          </w:p>
        </w:tc>
      </w:tr>
    </w:tbl>
    <w:p>
      <w:pPr>
        <w:spacing w:after="120"/>
      </w:pPr>
    </w:p>
    <w:p>
      <w:pPr>
        <w:spacing w:after="160"/>
      </w:pPr>
      <w:r>
        <w:t xml:space="preserve">Source: </w:t>
      </w:r>
      <w:hyperlink w:history="1" r:id="rIdnrctvyzv6kjlmth4anyax">
        <w:r>
          <w:rPr>
            <w:rStyle w:val="Hyperlink"/>
          </w:rPr>
          <w:t xml:space="preserve">Integrity360: The biggest cyber attacks of 2025</w:t>
        </w:r>
      </w:hyperlink>
    </w:p>
    <w:p>
      <w:pPr>
        <w:pStyle w:val="Heading3"/>
        <w:spacing w:after="100" w:before="200"/>
      </w:pPr>
      <w:r>
        <w:t xml:space="preserve">Summary</w:t>
      </w:r>
    </w:p>
    <w:p>
      <w:pPr>
        <w:spacing w:after="160"/>
      </w:pPr>
      <w:r>
        <w:t xml:space="preserve">A coordinated ransomware campaign, linked to the Scattered Spider threat group, hit several major UK retailers including Marks &amp; Spencer, the Co-op, and Harrods within weeks of each other. Rather than breaking through a technical defence directly, the attackers used sophisticated social-engineering techniques to compromise a third-party service provider, then rode that trusted access into the retailers' own systems. The disruption to store and online operations ran for weeks and became one of the most widely covered cyber incidents of the year.</w:t>
      </w:r>
    </w:p>
    <w:p>
      <w:pPr>
        <w:pStyle w:val="Heading3"/>
        <w:spacing w:after="100" w:before="200"/>
      </w:pPr>
      <w:r>
        <w:t xml:space="preserve">Questions</w:t>
      </w:r>
    </w:p>
    <w:p>
      <w:pPr>
        <w:pStyle w:val="ListParagraph"/>
        <w:numPr>
          <w:ilvl w:val="0"/>
          <w:numId w:val="2"/>
        </w:numPr>
        <w:spacing w:after="140"/>
      </w:pPr>
      <w:r>
        <w:t xml:space="preserve">What layer of the network stack (or non-technical layer) was actually exploited here — and why does that make traditional firewall/IDS defences less effective on their own?</w:t>
      </w:r>
    </w:p>
    <w:p>
      <w:pPr>
        <w:pStyle w:val="ListParagraph"/>
        <w:numPr>
          <w:ilvl w:val="0"/>
          <w:numId w:val="2"/>
        </w:numPr>
        <w:spacing w:after="140"/>
      </w:pPr>
      <w:r>
        <w:t xml:space="preserve">This attack relied on a third party's access being trusted. Relate this to the idea of a ‘broadcast domain’ or ‘trust boundary’ from this week's revision — where should the trust boundary have been drawn differently?</w:t>
      </w:r>
    </w:p>
    <w:p>
      <w:pPr>
        <w:pStyle w:val="ListParagraph"/>
        <w:numPr>
          <w:ilvl w:val="0"/>
          <w:numId w:val="2"/>
        </w:numPr>
        <w:spacing w:after="140"/>
      </w:pPr>
      <w:r>
        <w:t xml:space="preserve">Suggest two organisational (non-technical) controls and one technical control that could reduce the risk of a similar help-desk social-engineering attack.</w:t>
      </w:r>
    </w:p>
    <w:p>
      <w:pPr>
        <w:pStyle w:val="ListParagraph"/>
        <w:numPr>
          <w:ilvl w:val="0"/>
          <w:numId w:val="2"/>
        </w:numPr>
        <w:spacing w:after="140"/>
      </w:pPr>
      <w:r>
        <w:t xml:space="preserve">How does this incident illustrate that ‘network security’ is not only about configuring routers, switches, and firewalls?</w:t>
      </w:r>
    </w:p>
    <w:p>
      <w:pPr>
        <w:spacing w:after="100"/>
      </w:pPr>
    </w:p>
    <w:p>
      <w:pPr>
        <w:pStyle w:val="Heading2"/>
        <w:spacing w:after="120" w:before="260"/>
      </w:pPr>
      <w:r>
        <w:t xml:space="preserve">Incident 2: Ivanti Connect Secure VPN — Authentication Bypass Zero-Days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color w:val="FFFFFF"/>
              </w:rPr>
              <w:t xml:space="preserve">Field</w:t>
            </w:r>
          </w:p>
        </w:tc>
        <w:tc>
          <w:tcPr>
            <w:tcW w:type="dxa" w:w="6950"/>
            <w:shd w:fill="003054" w:color="auto" w:val="clear"/>
            <w:tcMar>
              <w:top w:type="dxa" w:w="80"/>
              <w:left w:type="dxa" w:w="100"/>
              <w:bottom w:type="dxa" w:w="80"/>
              <w:right w:type="dxa" w:w="100"/>
            </w:tcMar>
          </w:tcPr>
          <w:p>
            <w:r>
              <w:rPr>
                <w:b/>
                <w:bCs/>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color w:val="000000"/>
              </w:rPr>
              <w:t xml:space="preserve">Disclosed January 2025 (part of an ongoing pattern since Jan 2024)</w:t>
            </w:r>
          </w:p>
        </w:tc>
      </w:tr>
      <w:tr>
        <w:tc>
          <w:tcPr>
            <w:tcW w:type="dxa" w:w="2400"/>
            <w:shd w:fill="F2F4F7" w:color="auto" w:val="clear"/>
            <w:tcMar>
              <w:top w:type="dxa" w:w="80"/>
              <w:left w:type="dxa" w:w="100"/>
              <w:bottom w:type="dxa" w:w="80"/>
              <w:right w:type="dxa" w:w="100"/>
            </w:tcMar>
          </w:tcPr>
          <w:p>
            <w:r>
              <w:rPr>
                <w:b w:val="false"/>
                <w:bCs w:val="false"/>
                <w:color w:val="000000"/>
              </w:rPr>
              <w:t xml:space="preserve">Attack vector</w:t>
            </w:r>
          </w:p>
        </w:tc>
        <w:tc>
          <w:tcPr>
            <w:tcW w:type="dxa" w:w="6950"/>
            <w:shd w:fill="F2F4F7" w:color="auto" w:val="clear"/>
            <w:tcMar>
              <w:top w:type="dxa" w:w="80"/>
              <w:left w:type="dxa" w:w="100"/>
              <w:bottom w:type="dxa" w:w="80"/>
              <w:right w:type="dxa" w:w="100"/>
            </w:tcMar>
          </w:tcPr>
          <w:p>
            <w:r>
              <w:rPr>
                <w:b w:val="false"/>
                <w:bCs w:val="false"/>
                <w:color w:val="000000"/>
              </w:rPr>
              <w:t xml:space="preserve">Authentication bypass + buffer overflow in an Internet-facing VPN appliance</w:t>
            </w:r>
          </w:p>
        </w:tc>
      </w:tr>
    </w:tbl>
    <w:p>
      <w:pPr>
        <w:spacing w:after="120"/>
      </w:pPr>
    </w:p>
    <w:p>
      <w:pPr>
        <w:spacing w:after="160"/>
      </w:pPr>
      <w:r>
        <w:t xml:space="preserve">Source: </w:t>
      </w:r>
      <w:hyperlink w:history="1" r:id="rIde_o-qturwsxwnfc3rfpyu">
        <w:r>
          <w:rPr>
            <w:rStyle w:val="Hyperlink"/>
          </w:rPr>
          <w:t xml:space="preserve">CISA Advisory AA24-060B</w:t>
        </w:r>
      </w:hyperlink>
    </w:p>
    <w:p>
      <w:pPr>
        <w:pStyle w:val="Heading3"/>
        <w:spacing w:after="100" w:before="200"/>
      </w:pPr>
      <w:r>
        <w:t xml:space="preserve">Summary</w:t>
      </w:r>
    </w:p>
    <w:p>
      <w:pPr>
        <w:spacing w:after="160"/>
      </w:pPr>
      <w:r>
        <w:t xml:space="preserve">Ivanti Connect Secure and Policy Secure VPN gateways — the very devices meant to give remote workers secure access to a corporate network — were found to contain a chain of critical vulnerabilities (including an authentication bypass and a stack-based buffer overflow) that let attackers run arbitrary commands without ever logging in. Because these appliances sit at the network perimeter and bridge to internal domain accounts and cloud systems, compromising one gave attackers a foothold across an organisation's entire network. CISA took the unusual step of ordering U.S. federal agencies to physically disconnect affected appliances rather than simply patch them, since attackers could persist even through a factory reset.</w:t>
      </w:r>
    </w:p>
    <w:p>
      <w:pPr>
        <w:pStyle w:val="Heading3"/>
        <w:spacing w:after="100" w:before="200"/>
      </w:pPr>
      <w:r>
        <w:t xml:space="preserve">Questions</w:t>
      </w:r>
    </w:p>
    <w:p>
      <w:pPr>
        <w:pStyle w:val="ListParagraph"/>
        <w:numPr>
          <w:ilvl w:val="0"/>
          <w:numId w:val="2"/>
        </w:numPr>
        <w:spacing w:after="140"/>
      </w:pPr>
      <w:r>
        <w:t xml:space="preserve">A VPN appliance is meant to be a security control. Explain, using this incident, how a device that provides security (confidentiality/authenticated remote access) can itself become the attack surface.</w:t>
      </w:r>
    </w:p>
    <w:p>
      <w:pPr>
        <w:pStyle w:val="ListParagraph"/>
        <w:numPr>
          <w:ilvl w:val="0"/>
          <w:numId w:val="2"/>
        </w:numPr>
        <w:spacing w:after="140"/>
      </w:pPr>
      <w:r>
        <w:t xml:space="preserve">Which part of this week's revision (e.g. TCP handshake, encapsulation, the role of a default gateway) helps explain why compromising a perimeter VPN device is so much more dangerous than compromising an ordinary end-user laptop?</w:t>
      </w:r>
    </w:p>
    <w:p>
      <w:pPr>
        <w:pStyle w:val="ListParagraph"/>
        <w:numPr>
          <w:ilvl w:val="0"/>
          <w:numId w:val="2"/>
        </w:numPr>
        <w:spacing w:after="140"/>
      </w:pPr>
      <w:r>
        <w:t xml:space="preserve">‘Authentication bypass’ defeats the very first line of defence. What does this suggest about relying on a single control (authentication) versus defence-in-depth?</w:t>
      </w:r>
    </w:p>
    <w:p>
      <w:pPr>
        <w:pStyle w:val="ListParagraph"/>
        <w:numPr>
          <w:ilvl w:val="0"/>
          <w:numId w:val="2"/>
        </w:numPr>
        <w:spacing w:after="140"/>
      </w:pPr>
      <w:r>
        <w:t xml:space="preserve">CISA recommended disconnecting the devices rather than trusting a patch alone. Why might patching not be enough once a device has already been compromised?</w:t>
      </w:r>
    </w:p>
    <w:p>
      <w:pPr>
        <w:spacing w:after="100"/>
      </w:pPr>
    </w:p>
    <w:p>
      <w:pPr>
        <w:pStyle w:val="Heading2"/>
        <w:spacing w:after="120" w:before="260"/>
      </w:pPr>
      <w:r>
        <w:t xml:space="preserve">Incident 3: Exposed Automatic Tank Gauge (ATG) Systems at U.S. Gas Stations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color w:val="FFFFFF"/>
              </w:rPr>
              <w:t xml:space="preserve">Field</w:t>
            </w:r>
          </w:p>
        </w:tc>
        <w:tc>
          <w:tcPr>
            <w:tcW w:type="dxa" w:w="6950"/>
            <w:shd w:fill="003054" w:color="auto" w:val="clear"/>
            <w:tcMar>
              <w:top w:type="dxa" w:w="80"/>
              <w:left w:type="dxa" w:w="100"/>
              <w:bottom w:type="dxa" w:w="80"/>
              <w:right w:type="dxa" w:w="100"/>
            </w:tcMar>
          </w:tcPr>
          <w:p>
            <w:r>
              <w:rPr>
                <w:b/>
                <w:bCs/>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color w:val="000000"/>
              </w:rPr>
              <w:t xml:space="preserve">Disclosed May 2026</w:t>
            </w:r>
          </w:p>
        </w:tc>
      </w:tr>
      <w:tr>
        <w:tc>
          <w:tcPr>
            <w:tcW w:type="dxa" w:w="2400"/>
            <w:shd w:fill="F2F4F7" w:color="auto" w:val="clear"/>
            <w:tcMar>
              <w:top w:type="dxa" w:w="80"/>
              <w:left w:type="dxa" w:w="100"/>
              <w:bottom w:type="dxa" w:w="80"/>
              <w:right w:type="dxa" w:w="100"/>
            </w:tcMar>
          </w:tcPr>
          <w:p>
            <w:r>
              <w:rPr>
                <w:b w:val="false"/>
                <w:bCs w:val="false"/>
                <w:color w:val="000000"/>
              </w:rPr>
              <w:t xml:space="preserve">Attack vector</w:t>
            </w:r>
          </w:p>
        </w:tc>
        <w:tc>
          <w:tcPr>
            <w:tcW w:type="dxa" w:w="6950"/>
            <w:shd w:fill="F2F4F7" w:color="auto" w:val="clear"/>
            <w:tcMar>
              <w:top w:type="dxa" w:w="80"/>
              <w:left w:type="dxa" w:w="100"/>
              <w:bottom w:type="dxa" w:w="80"/>
              <w:right w:type="dxa" w:w="100"/>
            </w:tcMar>
          </w:tcPr>
          <w:p>
            <w:r>
              <w:rPr>
                <w:b w:val="false"/>
                <w:bCs w:val="false"/>
                <w:color w:val="000000"/>
              </w:rPr>
              <w:t xml:space="preserve">Misconfigured Internet-facing device — no password protection</w:t>
            </w:r>
          </w:p>
        </w:tc>
      </w:tr>
    </w:tbl>
    <w:p>
      <w:pPr>
        <w:spacing w:after="120"/>
      </w:pPr>
    </w:p>
    <w:p>
      <w:pPr>
        <w:spacing w:after="160"/>
      </w:pPr>
      <w:r>
        <w:t xml:space="preserve">Source: </w:t>
      </w:r>
      <w:hyperlink w:history="1" r:id="rIds6yjhbpr5d0qwtrv19kbw">
        <w:r>
          <w:rPr>
            <w:rStyle w:val="Hyperlink"/>
          </w:rPr>
          <w:t xml:space="preserve">CSIS: Significant Cyber Incidents</w:t>
        </w:r>
      </w:hyperlink>
    </w:p>
    <w:p>
      <w:pPr>
        <w:pStyle w:val="Heading3"/>
        <w:spacing w:after="100" w:before="200"/>
      </w:pPr>
      <w:r>
        <w:t xml:space="preserve">Summary</w:t>
      </w:r>
    </w:p>
    <w:p>
      <w:pPr>
        <w:spacing w:after="160"/>
      </w:pPr>
      <w:r>
        <w:t xml:space="preserve">U.S. officials disclosed that suspected foreign threat actors had breached the systems monitoring fuel storage tanks at multiple gas stations across several states. The attackers didn't need to exploit a software vulnerability at all — the Automatic Tank Gauge (ATG) systems had simply been left exposed to the public Internet without any password protection, meaning anyone who found the device's IP address could connect directly and monitor or manipulate it.</w:t>
      </w:r>
    </w:p>
    <w:p>
      <w:pPr>
        <w:pStyle w:val="Heading3"/>
        <w:spacing w:after="100" w:before="200"/>
      </w:pPr>
      <w:r>
        <w:t xml:space="preserve">Questions</w:t>
      </w:r>
    </w:p>
    <w:p>
      <w:pPr>
        <w:pStyle w:val="ListParagraph"/>
        <w:numPr>
          <w:ilvl w:val="0"/>
          <w:numId w:val="2"/>
        </w:numPr>
        <w:spacing w:after="140"/>
      </w:pPr>
      <w:r>
        <w:t xml:space="preserve">This is not a sophisticated exploit — it's a misconfiguration. Using the IPv4 addressing revision from this week, explain what ‘exposed to the public Internet’ means at the addressing/routing level, and what should have prevented it (e.g. private addressing, firewall rules, network segmentation).</w:t>
      </w:r>
    </w:p>
    <w:p>
      <w:pPr>
        <w:pStyle w:val="ListParagraph"/>
        <w:numPr>
          <w:ilvl w:val="0"/>
          <w:numId w:val="2"/>
        </w:numPr>
        <w:spacing w:after="140"/>
      </w:pPr>
      <w:r>
        <w:t xml:space="preserve">Relate this incident to the difference between a device's Layer 3 reachability and its Layer 7 (application) authentication — which layer failed here?</w:t>
      </w:r>
    </w:p>
    <w:p>
      <w:pPr>
        <w:pStyle w:val="ListParagraph"/>
        <w:numPr>
          <w:ilvl w:val="0"/>
          <w:numId w:val="2"/>
        </w:numPr>
        <w:spacing w:after="140"/>
      </w:pPr>
      <w:r>
        <w:t xml:space="preserve">Devices like this are part of what's often called Operational Technology (OT) or IoT. Why might OT/IoT devices be more likely to end up misconfigured like this compared to a typical office laptop?</w:t>
      </w:r>
    </w:p>
    <w:p>
      <w:pPr>
        <w:pStyle w:val="ListParagraph"/>
        <w:numPr>
          <w:ilvl w:val="0"/>
          <w:numId w:val="2"/>
        </w:numPr>
        <w:spacing w:after="140"/>
      </w:pPr>
      <w:r>
        <w:t xml:space="preserve">Propose a simple network design change (in terms of subnetting or segmentation, from this week's revision) that would have prevented public exposure without needing any password at all.</w:t>
      </w:r>
    </w:p>
    <w:p>
      <w:pPr>
        <w:spacing w:after="100"/>
      </w:pPr>
    </w:p>
    <w:p>
      <w:pPr>
        <w:pStyle w:val="Heading2"/>
        <w:spacing w:after="120" w:before="260"/>
      </w:pPr>
      <w:r>
        <w:t xml:space="preserve">Incident 4: SonicWall Cloud Backup Breach (Marquis America)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color w:val="FFFFFF"/>
              </w:rPr>
              <w:t xml:space="preserve">Field</w:t>
            </w:r>
          </w:p>
        </w:tc>
        <w:tc>
          <w:tcPr>
            <w:tcW w:type="dxa" w:w="6950"/>
            <w:shd w:fill="003054" w:color="auto" w:val="clear"/>
            <w:tcMar>
              <w:top w:type="dxa" w:w="80"/>
              <w:left w:type="dxa" w:w="100"/>
              <w:bottom w:type="dxa" w:w="80"/>
              <w:right w:type="dxa" w:w="100"/>
            </w:tcMar>
          </w:tcPr>
          <w:p>
            <w:r>
              <w:rPr>
                <w:b/>
                <w:bCs/>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color w:val="000000"/>
              </w:rPr>
              <w:t xml:space="preserve">When</w:t>
            </w:r>
          </w:p>
        </w:tc>
        <w:tc>
          <w:tcPr>
            <w:tcW w:type="dxa" w:w="6950"/>
            <w:shd w:fill="FFFFFF" w:color="auto" w:val="clear"/>
            <w:tcMar>
              <w:top w:type="dxa" w:w="80"/>
              <w:left w:type="dxa" w:w="100"/>
              <w:bottom w:type="dxa" w:w="80"/>
              <w:right w:type="dxa" w:w="100"/>
            </w:tcMar>
          </w:tcPr>
          <w:p>
            <w:r>
              <w:rPr>
                <w:b w:val="false"/>
                <w:bCs w:val="false"/>
                <w:color w:val="000000"/>
              </w:rPr>
              <w:t xml:space="preserve">Disclosed 2025–2026</w:t>
            </w:r>
          </w:p>
        </w:tc>
      </w:tr>
      <w:tr>
        <w:tc>
          <w:tcPr>
            <w:tcW w:type="dxa" w:w="2400"/>
            <w:shd w:fill="F2F4F7" w:color="auto" w:val="clear"/>
            <w:tcMar>
              <w:top w:type="dxa" w:w="80"/>
              <w:left w:type="dxa" w:w="100"/>
              <w:bottom w:type="dxa" w:w="80"/>
              <w:right w:type="dxa" w:w="100"/>
            </w:tcMar>
          </w:tcPr>
          <w:p>
            <w:r>
              <w:rPr>
                <w:b w:val="false"/>
                <w:bCs w:val="false"/>
                <w:color w:val="000000"/>
              </w:rPr>
              <w:t xml:space="preserve">Attack vector</w:t>
            </w:r>
          </w:p>
        </w:tc>
        <w:tc>
          <w:tcPr>
            <w:tcW w:type="dxa" w:w="6950"/>
            <w:shd w:fill="F2F4F7" w:color="auto" w:val="clear"/>
            <w:tcMar>
              <w:top w:type="dxa" w:w="80"/>
              <w:left w:type="dxa" w:w="100"/>
              <w:bottom w:type="dxa" w:w="80"/>
              <w:right w:type="dxa" w:w="100"/>
            </w:tcMar>
          </w:tcPr>
          <w:p>
            <w:r>
              <w:rPr>
                <w:b w:val="false"/>
                <w:bCs w:val="false"/>
                <w:color w:val="000000"/>
              </w:rPr>
              <w:t xml:space="preserve">Compromise of a security-vendor's cloud backup infrastructure via an API configuration change</w:t>
            </w:r>
          </w:p>
        </w:tc>
      </w:tr>
    </w:tbl>
    <w:p>
      <w:pPr>
        <w:spacing w:after="120"/>
      </w:pPr>
    </w:p>
    <w:p>
      <w:pPr>
        <w:spacing w:after="160"/>
      </w:pPr>
      <w:r>
        <w:t xml:space="preserve">Source: </w:t>
      </w:r>
      <w:hyperlink w:history="1" r:id="rIdzukqbgiazlubvvdmqnwcr">
        <w:r>
          <w:rPr>
            <w:rStyle w:val="Hyperlink"/>
          </w:rPr>
          <w:t xml:space="preserve">Bright Defense: Recent Data Breaches</w:t>
        </w:r>
      </w:hyperlink>
    </w:p>
    <w:p>
      <w:pPr>
        <w:pStyle w:val="Heading3"/>
        <w:spacing w:after="100" w:before="200"/>
      </w:pPr>
      <w:r>
        <w:t xml:space="preserve">Summary</w:t>
      </w:r>
    </w:p>
    <w:p>
      <w:pPr>
        <w:spacing w:after="160"/>
      </w:pPr>
      <w:r>
        <w:t xml:space="preserve">Marquis America, a company holding sensitive financial and personal records, suffered a data breach that it has publicly attributed to its own security vendor, SonicWall. According to Marquis's investigation, the attacker didn't breach Marquis's firewall directly — Marquis says its firewall was up to date and other controls, including MFA, were in place. Instead, the attacker leveraged configuration data extracted from SonicWall's cloud backup infrastructure, tied to a change in that vendor's API, to reach the data indirectly.</w:t>
      </w:r>
    </w:p>
    <w:p>
      <w:pPr>
        <w:pStyle w:val="Heading3"/>
        <w:spacing w:after="100" w:before="200"/>
      </w:pPr>
      <w:r>
        <w:t xml:space="preserve">Questions</w:t>
      </w:r>
    </w:p>
    <w:p>
      <w:pPr>
        <w:pStyle w:val="ListParagraph"/>
        <w:numPr>
          <w:ilvl w:val="0"/>
          <w:numId w:val="2"/>
        </w:numPr>
        <w:spacing w:after="140"/>
      </w:pPr>
      <w:r>
        <w:t xml:space="preserve">Marquis says its own firewall and MFA were fine. What does this incident suggest about the limits of securing your own network perimeter when you also depend on a third-party vendor's cloud infrastructure?</w:t>
      </w:r>
    </w:p>
    <w:p>
      <w:pPr>
        <w:pStyle w:val="ListParagraph"/>
        <w:numPr>
          <w:ilvl w:val="0"/>
          <w:numId w:val="2"/>
        </w:numPr>
        <w:spacing w:after="140"/>
      </w:pPr>
      <w:r>
        <w:t xml:space="preserve">A firewall is one of the security technologies you'll study later in this module (Week 7). Based on this incident, is a firewall alone sufficient to protect an organisation's data? Why or why not?</w:t>
      </w:r>
    </w:p>
    <w:p>
      <w:pPr>
        <w:pStyle w:val="ListParagraph"/>
        <w:numPr>
          <w:ilvl w:val="0"/>
          <w:numId w:val="2"/>
        </w:numPr>
        <w:spacing w:after="140"/>
      </w:pPr>
      <w:r>
        <w:t xml:space="preserve">This is often called a ‘supply chain’ or ‘vendor risk’ incident. Suggest one question a company should ask any security vendor before trusting them with configuration backups.</w:t>
      </w:r>
    </w:p>
    <w:p>
      <w:pPr>
        <w:pStyle w:val="ListParagraph"/>
        <w:numPr>
          <w:ilvl w:val="0"/>
          <w:numId w:val="2"/>
        </w:numPr>
        <w:spacing w:after="140"/>
      </w:pPr>
      <w:r>
        <w:t xml:space="preserve">How might this incident change how you'd design network security requirements for a client, connecting to LO3 (analysing a company's network/communication requirements)?</w:t>
      </w:r>
    </w:p>
    <w:p>
      <w:pPr>
        <w:spacing w:after="100"/>
      </w:pPr>
    </w:p>
    <w:p>
      <w:r>
        <w:br w:type="page"/>
      </w:r>
    </w:p>
    <w:p>
      <w:pPr>
        <w:pStyle w:val="Heading1"/>
        <w:spacing w:after="160" w:before="320"/>
      </w:pPr>
      <w:r>
        <w:t xml:space="preserve">Part B — Cybersecurity Job Market Scan</w:t>
      </w:r>
    </w:p>
    <w:p>
      <w:pPr>
        <w:spacing w:after="160"/>
      </w:pPr>
      <w:r>
        <w:t xml:space="preserve">Network security theory only matters if it connects to what employers actually need. In this part, you'll research real, currently posted entry-level / graduate cybersecurity job advertisements — both in Sri Lanka and internationally — and analyse how many explicitly require networking or network security skills.</w:t>
      </w:r>
    </w:p>
    <w:p>
      <w:pPr>
        <w:pStyle w:val="Heading2"/>
        <w:spacing w:after="120" w:before="260"/>
      </w:pPr>
      <w:r>
        <w:t xml:space="preserve">Instructions</w:t>
      </w:r>
    </w:p>
    <w:p>
      <w:pPr>
        <w:pStyle w:val="ListParagraph"/>
        <w:numPr>
          <w:ilvl w:val="0"/>
          <w:numId w:val="3"/>
        </w:numPr>
        <w:spacing w:after="80"/>
      </w:pPr>
      <w:r>
        <w:rPr>
          <w:sz w:val="21"/>
          <w:szCs w:val="21"/>
        </w:rPr>
        <w:t xml:space="preserve">Find 3 local (Sri Lankan) job ads for entry-level / graduate / intern roles in cybersecurity (e.g. “SOC Analyst”, “Cybersecurity Intern”, “Junior Security Analyst”, “IT Security Trainee”).</w:t>
      </w:r>
    </w:p>
    <w:p>
      <w:pPr>
        <w:pStyle w:val="ListParagraph"/>
        <w:numPr>
          <w:ilvl w:val="0"/>
          <w:numId w:val="3"/>
        </w:numPr>
        <w:spacing w:after="80"/>
      </w:pPr>
      <w:r>
        <w:rPr>
          <w:sz w:val="21"/>
          <w:szCs w:val="21"/>
        </w:rPr>
        <w:t xml:space="preserve">Find 3 international job ads for equivalent entry-level / graduate roles (any country, but note which one).</w:t>
      </w:r>
    </w:p>
    <w:p>
      <w:pPr>
        <w:pStyle w:val="ListParagraph"/>
        <w:numPr>
          <w:ilvl w:val="0"/>
          <w:numId w:val="3"/>
        </w:numPr>
        <w:spacing w:after="80"/>
      </w:pPr>
      <w:r>
        <w:rPr>
          <w:sz w:val="21"/>
          <w:szCs w:val="21"/>
        </w:rPr>
        <w:t xml:space="preserve">Good sources: LinkedIn Jobs, topjobs.lk, ikman.jobs, xpress.jobs (local); LinkedIn Jobs, Indeed, Glassdoor (international).</w:t>
      </w:r>
    </w:p>
    <w:p>
      <w:pPr>
        <w:pStyle w:val="ListParagraph"/>
        <w:numPr>
          <w:ilvl w:val="0"/>
          <w:numId w:val="3"/>
        </w:numPr>
        <w:spacing w:after="80"/>
      </w:pPr>
      <w:r>
        <w:rPr>
          <w:sz w:val="21"/>
          <w:szCs w:val="21"/>
        </w:rPr>
        <w:t xml:space="preserve">For each ad, read the full requirements/responsibilities section — not just the title — before deciding whether networking/network security is required.</w:t>
      </w:r>
    </w:p>
    <w:p>
      <w:pPr>
        <w:pStyle w:val="ListParagraph"/>
        <w:numPr>
          <w:ilvl w:val="0"/>
          <w:numId w:val="3"/>
        </w:numPr>
        <w:spacing w:after="80"/>
      </w:pPr>
      <w:r>
        <w:rPr>
          <w:sz w:val="21"/>
          <w:szCs w:val="21"/>
        </w:rPr>
        <w:t xml:space="preserve">“Requires networking/network security” = the ad explicitly mentions any of: TCP/IP, routing/switching, firewalls, VPN, network protocols, network monitoring, IDS/IPS, or similar — not just ‘cybersecurity’ in general.</w:t>
      </w:r>
    </w:p>
    <w:p>
      <w:pPr>
        <w:spacing w:after="100"/>
      </w:pPr>
    </w:p>
    <w:p>
      <w:pPr>
        <w:pStyle w:val="Heading2"/>
        <w:spacing w:after="120" w:before="260"/>
      </w:pPr>
      <w:r>
        <w:t xml:space="preserve">Data Collection Table</w:t>
      </w:r>
    </w:p>
    <w:p>
      <w:pPr>
        <w:spacing w:after="160"/>
      </w:pPr>
      <w:r>
        <w:rPr>
          <w:i/>
          <w:iCs/>
          <w:color w:val="6B7682"/>
          <w:sz w:val="20"/>
          <w:szCs w:val="20"/>
        </w:rPr>
        <w:t xml:space="preserve">Fill in one row per job ad (6 rows total). Add the direct link so your tally can be checked.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100"/>
        <w:gridCol w:w="1800"/>
        <w:gridCol w:w="1650"/>
        <w:gridCol w:w="2500"/>
      </w:tblGrid>
      <w:tr>
        <w:tc>
          <w:tcPr>
            <w:tcW w:type="dxa" w:w="400"/>
            <w:shd w:fill="003054" w:color="auto" w:val="clear"/>
            <w:tcMar>
              <w:top w:type="dxa" w:w="80"/>
              <w:left w:type="dxa" w:w="100"/>
              <w:bottom w:type="dxa" w:w="80"/>
              <w:right w:type="dxa" w:w="100"/>
            </w:tcMar>
          </w:tcPr>
          <w:p>
            <w:r>
              <w:rPr>
                <w:b/>
                <w:bCs/>
                <w:color w:val="FFFFFF"/>
              </w:rPr>
              <w:t xml:space="preserve">#</w:t>
            </w:r>
          </w:p>
        </w:tc>
        <w:tc>
          <w:tcPr>
            <w:tcW w:type="dxa" w:w="1900"/>
            <w:shd w:fill="003054" w:color="auto" w:val="clear"/>
            <w:tcMar>
              <w:top w:type="dxa" w:w="80"/>
              <w:left w:type="dxa" w:w="100"/>
              <w:bottom w:type="dxa" w:w="80"/>
              <w:right w:type="dxa" w:w="100"/>
            </w:tcMar>
          </w:tcPr>
          <w:p>
            <w:r>
              <w:rPr>
                <w:b/>
                <w:bCs/>
                <w:color w:val="FFFFFF"/>
              </w:rPr>
              <w:t xml:space="preserve">Company &amp; Title</w:t>
            </w:r>
          </w:p>
        </w:tc>
        <w:tc>
          <w:tcPr>
            <w:tcW w:type="dxa" w:w="1100"/>
            <w:shd w:fill="003054" w:color="auto" w:val="clear"/>
            <w:tcMar>
              <w:top w:type="dxa" w:w="80"/>
              <w:left w:type="dxa" w:w="100"/>
              <w:bottom w:type="dxa" w:w="80"/>
              <w:right w:type="dxa" w:w="100"/>
            </w:tcMar>
          </w:tcPr>
          <w:p>
            <w:r>
              <w:rPr>
                <w:b/>
                <w:bCs/>
                <w:color w:val="FFFFFF"/>
              </w:rPr>
              <w:t xml:space="preserve">Local / Intl</w:t>
            </w:r>
          </w:p>
        </w:tc>
        <w:tc>
          <w:tcPr>
            <w:tcW w:type="dxa" w:w="1800"/>
            <w:shd w:fill="003054" w:color="auto" w:val="clear"/>
            <w:tcMar>
              <w:top w:type="dxa" w:w="80"/>
              <w:left w:type="dxa" w:w="100"/>
              <w:bottom w:type="dxa" w:w="80"/>
              <w:right w:type="dxa" w:w="100"/>
            </w:tcMar>
          </w:tcPr>
          <w:p>
            <w:r>
              <w:rPr>
                <w:b/>
                <w:bCs/>
                <w:color w:val="FFFFFF"/>
              </w:rPr>
              <w:t xml:space="preserve">Link</w:t>
            </w:r>
          </w:p>
        </w:tc>
        <w:tc>
          <w:tcPr>
            <w:tcW w:type="dxa" w:w="1650"/>
            <w:shd w:fill="003054" w:color="auto" w:val="clear"/>
            <w:tcMar>
              <w:top w:type="dxa" w:w="80"/>
              <w:left w:type="dxa" w:w="100"/>
              <w:bottom w:type="dxa" w:w="80"/>
              <w:right w:type="dxa" w:w="100"/>
            </w:tcMar>
          </w:tcPr>
          <w:p>
            <w:r>
              <w:rPr>
                <w:b/>
                <w:bCs/>
                <w:color w:val="FFFFFF"/>
              </w:rPr>
              <w:t xml:space="preserve">Networking/Net-Sec Required? (Y/N)</w:t>
            </w:r>
          </w:p>
        </w:tc>
        <w:tc>
          <w:tcPr>
            <w:tcW w:type="dxa" w:w="2500"/>
            <w:shd w:fill="003054" w:color="auto" w:val="clear"/>
            <w:tcMar>
              <w:top w:type="dxa" w:w="80"/>
              <w:left w:type="dxa" w:w="100"/>
              <w:bottom w:type="dxa" w:w="80"/>
              <w:right w:type="dxa" w:w="100"/>
            </w:tcMar>
          </w:tcPr>
          <w:p>
            <w:r>
              <w:rPr>
                <w:b/>
                <w:bCs/>
                <w:color w:val="FFFFFF"/>
              </w:rPr>
              <w:t xml:space="preserve">Exact requirement (your words)</w:t>
            </w:r>
          </w:p>
        </w:tc>
      </w:tr>
      <w:tr>
        <w:tc>
          <w:tcPr>
            <w:tcW w:type="dxa" w:w="400"/>
            <w:shd w:fill="FFFFFF" w:color="auto" w:val="clear"/>
            <w:tcMar>
              <w:top w:type="dxa" w:w="80"/>
              <w:left w:type="dxa" w:w="100"/>
              <w:bottom w:type="dxa" w:w="80"/>
              <w:right w:type="dxa" w:w="100"/>
            </w:tcMar>
          </w:tcPr>
          <w:p>
            <w:r>
              <w:rPr>
                <w:b w:val="false"/>
                <w:bCs w:val="false"/>
                <w:color w:val="000000"/>
              </w:rPr>
              <w:t xml:space="preserve">1</w:t>
            </w:r>
          </w:p>
        </w:tc>
        <w:tc>
          <w:tcPr>
            <w:tcW w:type="dxa" w:w="1900"/>
            <w:shd w:fill="FFFFFF" w:color="auto" w:val="clear"/>
            <w:tcMar>
              <w:top w:type="dxa" w:w="80"/>
              <w:left w:type="dxa" w:w="100"/>
              <w:bottom w:type="dxa" w:w="80"/>
              <w:right w:type="dxa" w:w="100"/>
            </w:tcMar>
          </w:tcPr>
          <w:p>
            <w:r>
              <w:rPr>
                <w:b w:val="false"/>
                <w:bCs w:val="false"/>
                <w:color w:val="000000"/>
              </w:rPr>
              <w:t xml:space="preserve"/>
            </w:r>
          </w:p>
        </w:tc>
        <w:tc>
          <w:tcPr>
            <w:tcW w:type="dxa" w:w="1100"/>
            <w:shd w:fill="FFFFFF" w:color="auto" w:val="clear"/>
            <w:tcMar>
              <w:top w:type="dxa" w:w="80"/>
              <w:left w:type="dxa" w:w="100"/>
              <w:bottom w:type="dxa" w:w="80"/>
              <w:right w:type="dxa" w:w="100"/>
            </w:tcMar>
          </w:tcPr>
          <w:p>
            <w:r>
              <w:rPr>
                <w:b w:val="false"/>
                <w:bCs w:val="false"/>
                <w:color w:val="000000"/>
              </w:rPr>
              <w:t xml:space="preserve">Local</w:t>
            </w:r>
          </w:p>
        </w:tc>
        <w:tc>
          <w:tcPr>
            <w:tcW w:type="dxa" w:w="1800"/>
            <w:shd w:fill="FFFFFF" w:color="auto" w:val="clear"/>
            <w:tcMar>
              <w:top w:type="dxa" w:w="80"/>
              <w:left w:type="dxa" w:w="100"/>
              <w:bottom w:type="dxa" w:w="80"/>
              <w:right w:type="dxa" w:w="100"/>
            </w:tcMar>
          </w:tcPr>
          <w:p>
            <w:r>
              <w:rPr>
                <w:b w:val="false"/>
                <w:bCs w:val="false"/>
                <w:color w:val="000000"/>
              </w:rPr>
              <w:t xml:space="preserve"/>
            </w:r>
          </w:p>
        </w:tc>
        <w:tc>
          <w:tcPr>
            <w:tcW w:type="dxa" w:w="1650"/>
            <w:shd w:fill="FFFFFF" w:color="auto" w:val="clear"/>
            <w:tcMar>
              <w:top w:type="dxa" w:w="80"/>
              <w:left w:type="dxa" w:w="100"/>
              <w:bottom w:type="dxa" w:w="80"/>
              <w:right w:type="dxa" w:w="100"/>
            </w:tcMar>
          </w:tcPr>
          <w:p>
            <w:r>
              <w:rPr>
                <w:b w:val="false"/>
                <w:bCs w:val="false"/>
                <w:color w:val="000000"/>
              </w:rPr>
              <w:t xml:space="preserve"/>
            </w:r>
          </w:p>
        </w:tc>
        <w:tc>
          <w:tcPr>
            <w:tcW w:type="dxa" w:w="2500"/>
            <w:shd w:fill="FFFFFF" w:color="auto" w:val="clear"/>
            <w:tcMar>
              <w:top w:type="dxa" w:w="80"/>
              <w:left w:type="dxa" w:w="100"/>
              <w:bottom w:type="dxa" w:w="80"/>
              <w:right w:type="dxa" w:w="100"/>
            </w:tcMar>
          </w:tcPr>
          <w:p>
            <w:r>
              <w:rPr>
                <w:b w:val="false"/>
                <w:bCs w:val="false"/>
                <w:color w:val="000000"/>
              </w:rPr>
              <w:t xml:space="preserve"/>
            </w:r>
          </w:p>
        </w:tc>
      </w:tr>
      <w:tr>
        <w:tc>
          <w:tcPr>
            <w:tcW w:type="dxa" w:w="400"/>
            <w:shd w:fill="F2F4F7" w:color="auto" w:val="clear"/>
            <w:tcMar>
              <w:top w:type="dxa" w:w="80"/>
              <w:left w:type="dxa" w:w="100"/>
              <w:bottom w:type="dxa" w:w="80"/>
              <w:right w:type="dxa" w:w="100"/>
            </w:tcMar>
          </w:tcPr>
          <w:p>
            <w:r>
              <w:rPr>
                <w:b w:val="false"/>
                <w:bCs w:val="false"/>
                <w:color w:val="000000"/>
              </w:rPr>
              <w:t xml:space="preserve">2</w:t>
            </w:r>
          </w:p>
        </w:tc>
        <w:tc>
          <w:tcPr>
            <w:tcW w:type="dxa" w:w="1900"/>
            <w:shd w:fill="F2F4F7" w:color="auto" w:val="clear"/>
            <w:tcMar>
              <w:top w:type="dxa" w:w="80"/>
              <w:left w:type="dxa" w:w="100"/>
              <w:bottom w:type="dxa" w:w="80"/>
              <w:right w:type="dxa" w:w="100"/>
            </w:tcMar>
          </w:tcPr>
          <w:p>
            <w:r>
              <w:rPr>
                <w:b w:val="false"/>
                <w:bCs w:val="false"/>
                <w:color w:val="000000"/>
              </w:rPr>
              <w:t xml:space="preserve"/>
            </w:r>
          </w:p>
        </w:tc>
        <w:tc>
          <w:tcPr>
            <w:tcW w:type="dxa" w:w="1100"/>
            <w:shd w:fill="F2F4F7" w:color="auto" w:val="clear"/>
            <w:tcMar>
              <w:top w:type="dxa" w:w="80"/>
              <w:left w:type="dxa" w:w="100"/>
              <w:bottom w:type="dxa" w:w="80"/>
              <w:right w:type="dxa" w:w="100"/>
            </w:tcMar>
          </w:tcPr>
          <w:p>
            <w:r>
              <w:rPr>
                <w:b w:val="false"/>
                <w:bCs w:val="false"/>
                <w:color w:val="000000"/>
              </w:rPr>
              <w:t xml:space="preserve">Local</w:t>
            </w:r>
          </w:p>
        </w:tc>
        <w:tc>
          <w:tcPr>
            <w:tcW w:type="dxa" w:w="1800"/>
            <w:shd w:fill="F2F4F7" w:color="auto" w:val="clear"/>
            <w:tcMar>
              <w:top w:type="dxa" w:w="80"/>
              <w:left w:type="dxa" w:w="100"/>
              <w:bottom w:type="dxa" w:w="80"/>
              <w:right w:type="dxa" w:w="100"/>
            </w:tcMar>
          </w:tcPr>
          <w:p>
            <w:r>
              <w:rPr>
                <w:b w:val="false"/>
                <w:bCs w:val="false"/>
                <w:color w:val="000000"/>
              </w:rPr>
              <w:t xml:space="preserve"/>
            </w:r>
          </w:p>
        </w:tc>
        <w:tc>
          <w:tcPr>
            <w:tcW w:type="dxa" w:w="1650"/>
            <w:shd w:fill="F2F4F7" w:color="auto" w:val="clear"/>
            <w:tcMar>
              <w:top w:type="dxa" w:w="80"/>
              <w:left w:type="dxa" w:w="100"/>
              <w:bottom w:type="dxa" w:w="80"/>
              <w:right w:type="dxa" w:w="100"/>
            </w:tcMar>
          </w:tcPr>
          <w:p>
            <w:r>
              <w:rPr>
                <w:b w:val="false"/>
                <w:bCs w:val="false"/>
                <w:color w:val="000000"/>
              </w:rPr>
              <w:t xml:space="preserve"/>
            </w:r>
          </w:p>
        </w:tc>
        <w:tc>
          <w:tcPr>
            <w:tcW w:type="dxa" w:w="2500"/>
            <w:shd w:fill="F2F4F7" w:color="auto" w:val="clear"/>
            <w:tcMar>
              <w:top w:type="dxa" w:w="80"/>
              <w:left w:type="dxa" w:w="100"/>
              <w:bottom w:type="dxa" w:w="80"/>
              <w:right w:type="dxa" w:w="100"/>
            </w:tcMar>
          </w:tcPr>
          <w:p>
            <w:r>
              <w:rPr>
                <w:b w:val="false"/>
                <w:bCs w:val="false"/>
                <w:color w:val="000000"/>
              </w:rPr>
              <w:t xml:space="preserve"/>
            </w:r>
          </w:p>
        </w:tc>
      </w:tr>
      <w:tr>
        <w:tc>
          <w:tcPr>
            <w:tcW w:type="dxa" w:w="400"/>
            <w:shd w:fill="FFFFFF" w:color="auto" w:val="clear"/>
            <w:tcMar>
              <w:top w:type="dxa" w:w="80"/>
              <w:left w:type="dxa" w:w="100"/>
              <w:bottom w:type="dxa" w:w="80"/>
              <w:right w:type="dxa" w:w="100"/>
            </w:tcMar>
          </w:tcPr>
          <w:p>
            <w:r>
              <w:rPr>
                <w:b w:val="false"/>
                <w:bCs w:val="false"/>
                <w:color w:val="000000"/>
              </w:rPr>
              <w:t xml:space="preserve">3</w:t>
            </w:r>
          </w:p>
        </w:tc>
        <w:tc>
          <w:tcPr>
            <w:tcW w:type="dxa" w:w="1900"/>
            <w:shd w:fill="FFFFFF" w:color="auto" w:val="clear"/>
            <w:tcMar>
              <w:top w:type="dxa" w:w="80"/>
              <w:left w:type="dxa" w:w="100"/>
              <w:bottom w:type="dxa" w:w="80"/>
              <w:right w:type="dxa" w:w="100"/>
            </w:tcMar>
          </w:tcPr>
          <w:p>
            <w:r>
              <w:rPr>
                <w:b w:val="false"/>
                <w:bCs w:val="false"/>
                <w:color w:val="000000"/>
              </w:rPr>
              <w:t xml:space="preserve"/>
            </w:r>
          </w:p>
        </w:tc>
        <w:tc>
          <w:tcPr>
            <w:tcW w:type="dxa" w:w="1100"/>
            <w:shd w:fill="FFFFFF" w:color="auto" w:val="clear"/>
            <w:tcMar>
              <w:top w:type="dxa" w:w="80"/>
              <w:left w:type="dxa" w:w="100"/>
              <w:bottom w:type="dxa" w:w="80"/>
              <w:right w:type="dxa" w:w="100"/>
            </w:tcMar>
          </w:tcPr>
          <w:p>
            <w:r>
              <w:rPr>
                <w:b w:val="false"/>
                <w:bCs w:val="false"/>
                <w:color w:val="000000"/>
              </w:rPr>
              <w:t xml:space="preserve">Local</w:t>
            </w:r>
          </w:p>
        </w:tc>
        <w:tc>
          <w:tcPr>
            <w:tcW w:type="dxa" w:w="1800"/>
            <w:shd w:fill="FFFFFF" w:color="auto" w:val="clear"/>
            <w:tcMar>
              <w:top w:type="dxa" w:w="80"/>
              <w:left w:type="dxa" w:w="100"/>
              <w:bottom w:type="dxa" w:w="80"/>
              <w:right w:type="dxa" w:w="100"/>
            </w:tcMar>
          </w:tcPr>
          <w:p>
            <w:r>
              <w:rPr>
                <w:b w:val="false"/>
                <w:bCs w:val="false"/>
                <w:color w:val="000000"/>
              </w:rPr>
              <w:t xml:space="preserve"/>
            </w:r>
          </w:p>
        </w:tc>
        <w:tc>
          <w:tcPr>
            <w:tcW w:type="dxa" w:w="1650"/>
            <w:shd w:fill="FFFFFF" w:color="auto" w:val="clear"/>
            <w:tcMar>
              <w:top w:type="dxa" w:w="80"/>
              <w:left w:type="dxa" w:w="100"/>
              <w:bottom w:type="dxa" w:w="80"/>
              <w:right w:type="dxa" w:w="100"/>
            </w:tcMar>
          </w:tcPr>
          <w:p>
            <w:r>
              <w:rPr>
                <w:b w:val="false"/>
                <w:bCs w:val="false"/>
                <w:color w:val="000000"/>
              </w:rPr>
              <w:t xml:space="preserve"/>
            </w:r>
          </w:p>
        </w:tc>
        <w:tc>
          <w:tcPr>
            <w:tcW w:type="dxa" w:w="2500"/>
            <w:shd w:fill="FFFFFF" w:color="auto" w:val="clear"/>
            <w:tcMar>
              <w:top w:type="dxa" w:w="80"/>
              <w:left w:type="dxa" w:w="100"/>
              <w:bottom w:type="dxa" w:w="80"/>
              <w:right w:type="dxa" w:w="100"/>
            </w:tcMar>
          </w:tcPr>
          <w:p>
            <w:r>
              <w:rPr>
                <w:b w:val="false"/>
                <w:bCs w:val="false"/>
                <w:color w:val="000000"/>
              </w:rPr>
              <w:t xml:space="preserve"/>
            </w:r>
          </w:p>
        </w:tc>
      </w:tr>
      <w:tr>
        <w:tc>
          <w:tcPr>
            <w:tcW w:type="dxa" w:w="400"/>
            <w:shd w:fill="F2F4F7" w:color="auto" w:val="clear"/>
            <w:tcMar>
              <w:top w:type="dxa" w:w="80"/>
              <w:left w:type="dxa" w:w="100"/>
              <w:bottom w:type="dxa" w:w="80"/>
              <w:right w:type="dxa" w:w="100"/>
            </w:tcMar>
          </w:tcPr>
          <w:p>
            <w:r>
              <w:rPr>
                <w:b w:val="false"/>
                <w:bCs w:val="false"/>
                <w:color w:val="000000"/>
              </w:rPr>
              <w:t xml:space="preserve">4</w:t>
            </w:r>
          </w:p>
        </w:tc>
        <w:tc>
          <w:tcPr>
            <w:tcW w:type="dxa" w:w="1900"/>
            <w:shd w:fill="F2F4F7" w:color="auto" w:val="clear"/>
            <w:tcMar>
              <w:top w:type="dxa" w:w="80"/>
              <w:left w:type="dxa" w:w="100"/>
              <w:bottom w:type="dxa" w:w="80"/>
              <w:right w:type="dxa" w:w="100"/>
            </w:tcMar>
          </w:tcPr>
          <w:p>
            <w:r>
              <w:rPr>
                <w:b w:val="false"/>
                <w:bCs w:val="false"/>
                <w:color w:val="000000"/>
              </w:rPr>
              <w:t xml:space="preserve"/>
            </w:r>
          </w:p>
        </w:tc>
        <w:tc>
          <w:tcPr>
            <w:tcW w:type="dxa" w:w="1100"/>
            <w:shd w:fill="F2F4F7" w:color="auto" w:val="clear"/>
            <w:tcMar>
              <w:top w:type="dxa" w:w="80"/>
              <w:left w:type="dxa" w:w="100"/>
              <w:bottom w:type="dxa" w:w="80"/>
              <w:right w:type="dxa" w:w="100"/>
            </w:tcMar>
          </w:tcPr>
          <w:p>
            <w:r>
              <w:rPr>
                <w:b w:val="false"/>
                <w:bCs w:val="false"/>
                <w:color w:val="000000"/>
              </w:rPr>
              <w:t xml:space="preserve">International</w:t>
            </w:r>
          </w:p>
        </w:tc>
        <w:tc>
          <w:tcPr>
            <w:tcW w:type="dxa" w:w="1800"/>
            <w:shd w:fill="F2F4F7" w:color="auto" w:val="clear"/>
            <w:tcMar>
              <w:top w:type="dxa" w:w="80"/>
              <w:left w:type="dxa" w:w="100"/>
              <w:bottom w:type="dxa" w:w="80"/>
              <w:right w:type="dxa" w:w="100"/>
            </w:tcMar>
          </w:tcPr>
          <w:p>
            <w:r>
              <w:rPr>
                <w:b w:val="false"/>
                <w:bCs w:val="false"/>
                <w:color w:val="000000"/>
              </w:rPr>
              <w:t xml:space="preserve"/>
            </w:r>
          </w:p>
        </w:tc>
        <w:tc>
          <w:tcPr>
            <w:tcW w:type="dxa" w:w="1650"/>
            <w:shd w:fill="F2F4F7" w:color="auto" w:val="clear"/>
            <w:tcMar>
              <w:top w:type="dxa" w:w="80"/>
              <w:left w:type="dxa" w:w="100"/>
              <w:bottom w:type="dxa" w:w="80"/>
              <w:right w:type="dxa" w:w="100"/>
            </w:tcMar>
          </w:tcPr>
          <w:p>
            <w:r>
              <w:rPr>
                <w:b w:val="false"/>
                <w:bCs w:val="false"/>
                <w:color w:val="000000"/>
              </w:rPr>
              <w:t xml:space="preserve"/>
            </w:r>
          </w:p>
        </w:tc>
        <w:tc>
          <w:tcPr>
            <w:tcW w:type="dxa" w:w="2500"/>
            <w:shd w:fill="F2F4F7" w:color="auto" w:val="clear"/>
            <w:tcMar>
              <w:top w:type="dxa" w:w="80"/>
              <w:left w:type="dxa" w:w="100"/>
              <w:bottom w:type="dxa" w:w="80"/>
              <w:right w:type="dxa" w:w="100"/>
            </w:tcMar>
          </w:tcPr>
          <w:p>
            <w:r>
              <w:rPr>
                <w:b w:val="false"/>
                <w:bCs w:val="false"/>
                <w:color w:val="000000"/>
              </w:rPr>
              <w:t xml:space="preserve"/>
            </w:r>
          </w:p>
        </w:tc>
      </w:tr>
      <w:tr>
        <w:tc>
          <w:tcPr>
            <w:tcW w:type="dxa" w:w="400"/>
            <w:shd w:fill="FFFFFF" w:color="auto" w:val="clear"/>
            <w:tcMar>
              <w:top w:type="dxa" w:w="80"/>
              <w:left w:type="dxa" w:w="100"/>
              <w:bottom w:type="dxa" w:w="80"/>
              <w:right w:type="dxa" w:w="100"/>
            </w:tcMar>
          </w:tcPr>
          <w:p>
            <w:r>
              <w:rPr>
                <w:b w:val="false"/>
                <w:bCs w:val="false"/>
                <w:color w:val="000000"/>
              </w:rPr>
              <w:t xml:space="preserve">5</w:t>
            </w:r>
          </w:p>
        </w:tc>
        <w:tc>
          <w:tcPr>
            <w:tcW w:type="dxa" w:w="1900"/>
            <w:shd w:fill="FFFFFF" w:color="auto" w:val="clear"/>
            <w:tcMar>
              <w:top w:type="dxa" w:w="80"/>
              <w:left w:type="dxa" w:w="100"/>
              <w:bottom w:type="dxa" w:w="80"/>
              <w:right w:type="dxa" w:w="100"/>
            </w:tcMar>
          </w:tcPr>
          <w:p>
            <w:r>
              <w:rPr>
                <w:b w:val="false"/>
                <w:bCs w:val="false"/>
                <w:color w:val="000000"/>
              </w:rPr>
              <w:t xml:space="preserve"/>
            </w:r>
          </w:p>
        </w:tc>
        <w:tc>
          <w:tcPr>
            <w:tcW w:type="dxa" w:w="1100"/>
            <w:shd w:fill="FFFFFF" w:color="auto" w:val="clear"/>
            <w:tcMar>
              <w:top w:type="dxa" w:w="80"/>
              <w:left w:type="dxa" w:w="100"/>
              <w:bottom w:type="dxa" w:w="80"/>
              <w:right w:type="dxa" w:w="100"/>
            </w:tcMar>
          </w:tcPr>
          <w:p>
            <w:r>
              <w:rPr>
                <w:b w:val="false"/>
                <w:bCs w:val="false"/>
                <w:color w:val="000000"/>
              </w:rPr>
              <w:t xml:space="preserve">International</w:t>
            </w:r>
          </w:p>
        </w:tc>
        <w:tc>
          <w:tcPr>
            <w:tcW w:type="dxa" w:w="1800"/>
            <w:shd w:fill="FFFFFF" w:color="auto" w:val="clear"/>
            <w:tcMar>
              <w:top w:type="dxa" w:w="80"/>
              <w:left w:type="dxa" w:w="100"/>
              <w:bottom w:type="dxa" w:w="80"/>
              <w:right w:type="dxa" w:w="100"/>
            </w:tcMar>
          </w:tcPr>
          <w:p>
            <w:r>
              <w:rPr>
                <w:b w:val="false"/>
                <w:bCs w:val="false"/>
                <w:color w:val="000000"/>
              </w:rPr>
              <w:t xml:space="preserve"/>
            </w:r>
          </w:p>
        </w:tc>
        <w:tc>
          <w:tcPr>
            <w:tcW w:type="dxa" w:w="1650"/>
            <w:shd w:fill="FFFFFF" w:color="auto" w:val="clear"/>
            <w:tcMar>
              <w:top w:type="dxa" w:w="80"/>
              <w:left w:type="dxa" w:w="100"/>
              <w:bottom w:type="dxa" w:w="80"/>
              <w:right w:type="dxa" w:w="100"/>
            </w:tcMar>
          </w:tcPr>
          <w:p>
            <w:r>
              <w:rPr>
                <w:b w:val="false"/>
                <w:bCs w:val="false"/>
                <w:color w:val="000000"/>
              </w:rPr>
              <w:t xml:space="preserve"/>
            </w:r>
          </w:p>
        </w:tc>
        <w:tc>
          <w:tcPr>
            <w:tcW w:type="dxa" w:w="2500"/>
            <w:shd w:fill="FFFFFF" w:color="auto" w:val="clear"/>
            <w:tcMar>
              <w:top w:type="dxa" w:w="80"/>
              <w:left w:type="dxa" w:w="100"/>
              <w:bottom w:type="dxa" w:w="80"/>
              <w:right w:type="dxa" w:w="100"/>
            </w:tcMar>
          </w:tcPr>
          <w:p>
            <w:r>
              <w:rPr>
                <w:b w:val="false"/>
                <w:bCs w:val="false"/>
                <w:color w:val="000000"/>
              </w:rPr>
              <w:t xml:space="preserve"/>
            </w:r>
          </w:p>
        </w:tc>
      </w:tr>
      <w:tr>
        <w:tc>
          <w:tcPr>
            <w:tcW w:type="dxa" w:w="400"/>
            <w:shd w:fill="F2F4F7" w:color="auto" w:val="clear"/>
            <w:tcMar>
              <w:top w:type="dxa" w:w="80"/>
              <w:left w:type="dxa" w:w="100"/>
              <w:bottom w:type="dxa" w:w="80"/>
              <w:right w:type="dxa" w:w="100"/>
            </w:tcMar>
          </w:tcPr>
          <w:p>
            <w:r>
              <w:rPr>
                <w:b w:val="false"/>
                <w:bCs w:val="false"/>
                <w:color w:val="000000"/>
              </w:rPr>
              <w:t xml:space="preserve">6</w:t>
            </w:r>
          </w:p>
        </w:tc>
        <w:tc>
          <w:tcPr>
            <w:tcW w:type="dxa" w:w="1900"/>
            <w:shd w:fill="F2F4F7" w:color="auto" w:val="clear"/>
            <w:tcMar>
              <w:top w:type="dxa" w:w="80"/>
              <w:left w:type="dxa" w:w="100"/>
              <w:bottom w:type="dxa" w:w="80"/>
              <w:right w:type="dxa" w:w="100"/>
            </w:tcMar>
          </w:tcPr>
          <w:p>
            <w:r>
              <w:rPr>
                <w:b w:val="false"/>
                <w:bCs w:val="false"/>
                <w:color w:val="000000"/>
              </w:rPr>
              <w:t xml:space="preserve"/>
            </w:r>
          </w:p>
        </w:tc>
        <w:tc>
          <w:tcPr>
            <w:tcW w:type="dxa" w:w="1100"/>
            <w:shd w:fill="F2F4F7" w:color="auto" w:val="clear"/>
            <w:tcMar>
              <w:top w:type="dxa" w:w="80"/>
              <w:left w:type="dxa" w:w="100"/>
              <w:bottom w:type="dxa" w:w="80"/>
              <w:right w:type="dxa" w:w="100"/>
            </w:tcMar>
          </w:tcPr>
          <w:p>
            <w:r>
              <w:rPr>
                <w:b w:val="false"/>
                <w:bCs w:val="false"/>
                <w:color w:val="000000"/>
              </w:rPr>
              <w:t xml:space="preserve">International</w:t>
            </w:r>
          </w:p>
        </w:tc>
        <w:tc>
          <w:tcPr>
            <w:tcW w:type="dxa" w:w="1800"/>
            <w:shd w:fill="F2F4F7" w:color="auto" w:val="clear"/>
            <w:tcMar>
              <w:top w:type="dxa" w:w="80"/>
              <w:left w:type="dxa" w:w="100"/>
              <w:bottom w:type="dxa" w:w="80"/>
              <w:right w:type="dxa" w:w="100"/>
            </w:tcMar>
          </w:tcPr>
          <w:p>
            <w:r>
              <w:rPr>
                <w:b w:val="false"/>
                <w:bCs w:val="false"/>
                <w:color w:val="000000"/>
              </w:rPr>
              <w:t xml:space="preserve"/>
            </w:r>
          </w:p>
        </w:tc>
        <w:tc>
          <w:tcPr>
            <w:tcW w:type="dxa" w:w="1650"/>
            <w:shd w:fill="F2F4F7" w:color="auto" w:val="clear"/>
            <w:tcMar>
              <w:top w:type="dxa" w:w="80"/>
              <w:left w:type="dxa" w:w="100"/>
              <w:bottom w:type="dxa" w:w="80"/>
              <w:right w:type="dxa" w:w="100"/>
            </w:tcMar>
          </w:tcPr>
          <w:p>
            <w:r>
              <w:rPr>
                <w:b w:val="false"/>
                <w:bCs w:val="false"/>
                <w:color w:val="000000"/>
              </w:rPr>
              <w:t xml:space="preserve"/>
            </w:r>
          </w:p>
        </w:tc>
        <w:tc>
          <w:tcPr>
            <w:tcW w:type="dxa" w:w="2500"/>
            <w:shd w:fill="F2F4F7" w:color="auto" w:val="clear"/>
            <w:tcMar>
              <w:top w:type="dxa" w:w="80"/>
              <w:left w:type="dxa" w:w="100"/>
              <w:bottom w:type="dxa" w:w="80"/>
              <w:right w:type="dxa" w:w="100"/>
            </w:tcMar>
          </w:tcPr>
          <w:p>
            <w:r>
              <w:rPr>
                <w:b w:val="false"/>
                <w:bCs w:val="false"/>
                <w:color w:val="000000"/>
              </w:rPr>
              <w:t xml:space="preserve"/>
            </w:r>
          </w:p>
        </w:tc>
      </w:tr>
    </w:tbl>
    <w:p>
      <w:pPr>
        <w:spacing w:after="200"/>
      </w:pPr>
    </w:p>
    <w:p>
      <w:pPr>
        <w:pStyle w:val="Heading2"/>
        <w:spacing w:after="120" w:before="260"/>
      </w:pPr>
      <w:r>
        <w:t xml:space="preserve">Tally &amp;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00"/>
        <w:gridCol w:w="2750"/>
      </w:tblGrid>
      <w:tr>
        <w:tc>
          <w:tcPr>
            <w:tcW w:type="dxa" w:w="6600"/>
            <w:shd w:fill="003054" w:color="auto" w:val="clear"/>
            <w:tcMar>
              <w:top w:type="dxa" w:w="80"/>
              <w:left w:type="dxa" w:w="100"/>
              <w:bottom w:type="dxa" w:w="80"/>
              <w:right w:type="dxa" w:w="100"/>
            </w:tcMar>
          </w:tcPr>
          <w:p>
            <w:r>
              <w:rPr>
                <w:b/>
                <w:bCs/>
                <w:color w:val="FFFFFF"/>
              </w:rPr>
              <w:t xml:space="preserve">Metric</w:t>
            </w:r>
          </w:p>
        </w:tc>
        <w:tc>
          <w:tcPr>
            <w:tcW w:type="dxa" w:w="2750"/>
            <w:shd w:fill="003054" w:color="auto" w:val="clear"/>
            <w:tcMar>
              <w:top w:type="dxa" w:w="80"/>
              <w:left w:type="dxa" w:w="100"/>
              <w:bottom w:type="dxa" w:w="80"/>
              <w:right w:type="dxa" w:w="100"/>
            </w:tcMar>
          </w:tcPr>
          <w:p>
            <w:r>
              <w:rPr>
                <w:b/>
                <w:bCs/>
                <w:color w:val="FFFFFF"/>
              </w:rPr>
              <w:t xml:space="preserve">Your Result</w:t>
            </w:r>
          </w:p>
        </w:tc>
      </w:tr>
      <w:tr>
        <w:tc>
          <w:tcPr>
            <w:tcW w:type="dxa" w:w="6600"/>
            <w:shd w:fill="FFFFFF" w:color="auto" w:val="clear"/>
            <w:tcMar>
              <w:top w:type="dxa" w:w="80"/>
              <w:left w:type="dxa" w:w="100"/>
              <w:bottom w:type="dxa" w:w="80"/>
              <w:right w:type="dxa" w:w="100"/>
            </w:tcMar>
          </w:tcPr>
          <w:p>
            <w:r>
              <w:rPr>
                <w:b w:val="false"/>
                <w:bCs w:val="false"/>
                <w:color w:val="000000"/>
              </w:rPr>
              <w:t xml:space="preserve">Local ads requiring networking/network-security skills (out of 3)</w:t>
            </w:r>
          </w:p>
        </w:tc>
        <w:tc>
          <w:tcPr>
            <w:tcW w:type="dxa" w:w="2750"/>
            <w:shd w:fill="FFFFFF" w:color="auto" w:val="clear"/>
            <w:tcMar>
              <w:top w:type="dxa" w:w="80"/>
              <w:left w:type="dxa" w:w="100"/>
              <w:bottom w:type="dxa" w:w="80"/>
              <w:right w:type="dxa" w:w="100"/>
            </w:tcMar>
          </w:tcPr>
          <w:p>
            <w:r>
              <w:rPr>
                <w:b w:val="false"/>
                <w:bCs w:val="false"/>
                <w:color w:val="000000"/>
              </w:rPr>
              <w:t xml:space="preserve"/>
            </w:r>
          </w:p>
        </w:tc>
      </w:tr>
      <w:tr>
        <w:tc>
          <w:tcPr>
            <w:tcW w:type="dxa" w:w="6600"/>
            <w:shd w:fill="F2F4F7" w:color="auto" w:val="clear"/>
            <w:tcMar>
              <w:top w:type="dxa" w:w="80"/>
              <w:left w:type="dxa" w:w="100"/>
              <w:bottom w:type="dxa" w:w="80"/>
              <w:right w:type="dxa" w:w="100"/>
            </w:tcMar>
          </w:tcPr>
          <w:p>
            <w:r>
              <w:rPr>
                <w:b w:val="false"/>
                <w:bCs w:val="false"/>
                <w:color w:val="000000"/>
              </w:rPr>
              <w:t xml:space="preserve">International ads requiring networking/network-security skills (out of 3)</w:t>
            </w:r>
          </w:p>
        </w:tc>
        <w:tc>
          <w:tcPr>
            <w:tcW w:type="dxa" w:w="2750"/>
            <w:shd w:fill="F2F4F7" w:color="auto" w:val="clear"/>
            <w:tcMar>
              <w:top w:type="dxa" w:w="80"/>
              <w:left w:type="dxa" w:w="100"/>
              <w:bottom w:type="dxa" w:w="80"/>
              <w:right w:type="dxa" w:w="100"/>
            </w:tcMar>
          </w:tcPr>
          <w:p>
            <w:r>
              <w:rPr>
                <w:b w:val="false"/>
                <w:bCs w:val="false"/>
                <w:color w:val="000000"/>
              </w:rPr>
              <w:t xml:space="preserve"/>
            </w:r>
          </w:p>
        </w:tc>
      </w:tr>
      <w:tr>
        <w:tc>
          <w:tcPr>
            <w:tcW w:type="dxa" w:w="6600"/>
            <w:shd w:fill="FFFFFF" w:color="auto" w:val="clear"/>
            <w:tcMar>
              <w:top w:type="dxa" w:w="80"/>
              <w:left w:type="dxa" w:w="100"/>
              <w:bottom w:type="dxa" w:w="80"/>
              <w:right w:type="dxa" w:w="100"/>
            </w:tcMar>
          </w:tcPr>
          <w:p>
            <w:r>
              <w:rPr>
                <w:b w:val="false"/>
                <w:bCs w:val="false"/>
                <w:color w:val="000000"/>
              </w:rPr>
              <w:t xml:space="preserve">Overall total requiring it (out of 6)</w:t>
            </w:r>
          </w:p>
        </w:tc>
        <w:tc>
          <w:tcPr>
            <w:tcW w:type="dxa" w:w="2750"/>
            <w:shd w:fill="FFFFFF" w:color="auto" w:val="clear"/>
            <w:tcMar>
              <w:top w:type="dxa" w:w="80"/>
              <w:left w:type="dxa" w:w="100"/>
              <w:bottom w:type="dxa" w:w="80"/>
              <w:right w:type="dxa" w:w="100"/>
            </w:tcMar>
          </w:tcPr>
          <w:p>
            <w:r>
              <w:rPr>
                <w:b w:val="false"/>
                <w:bCs w:val="false"/>
                <w:color w:val="000000"/>
              </w:rPr>
              <w:t xml:space="preserve"/>
            </w:r>
          </w:p>
        </w:tc>
      </w:tr>
      <w:tr>
        <w:tc>
          <w:tcPr>
            <w:tcW w:type="dxa" w:w="6600"/>
            <w:shd w:fill="F2F4F7" w:color="auto" w:val="clear"/>
            <w:tcMar>
              <w:top w:type="dxa" w:w="80"/>
              <w:left w:type="dxa" w:w="100"/>
              <w:bottom w:type="dxa" w:w="80"/>
              <w:right w:type="dxa" w:w="100"/>
            </w:tcMar>
          </w:tcPr>
          <w:p>
            <w:r>
              <w:rPr>
                <w:b w:val="false"/>
                <w:bCs w:val="false"/>
                <w:color w:val="000000"/>
              </w:rPr>
              <w:t xml:space="preserve">Overall percentage</w:t>
            </w:r>
          </w:p>
        </w:tc>
        <w:tc>
          <w:tcPr>
            <w:tcW w:type="dxa" w:w="2750"/>
            <w:shd w:fill="F2F4F7" w:color="auto" w:val="clear"/>
            <w:tcMar>
              <w:top w:type="dxa" w:w="80"/>
              <w:left w:type="dxa" w:w="100"/>
              <w:bottom w:type="dxa" w:w="80"/>
              <w:right w:type="dxa" w:w="100"/>
            </w:tcMar>
          </w:tcPr>
          <w:p>
            <w:r>
              <w:rPr>
                <w:b w:val="false"/>
                <w:bCs w:val="false"/>
                <w:color w:val="000000"/>
              </w:rPr>
              <w:t xml:space="preserve"/>
            </w:r>
          </w:p>
        </w:tc>
      </w:tr>
    </w:tbl>
    <w:p>
      <w:pPr>
        <w:spacing w:after="200"/>
      </w:pPr>
    </w:p>
    <w:p>
      <w:pPr>
        <w:pStyle w:val="Heading2"/>
        <w:spacing w:after="120" w:before="260"/>
      </w:pPr>
      <w:r>
        <w:t xml:space="preserve">Reflection Questions</w:t>
      </w:r>
    </w:p>
    <w:p>
      <w:pPr>
        <w:pStyle w:val="ListParagraph"/>
        <w:numPr>
          <w:ilvl w:val="0"/>
          <w:numId w:val="4"/>
        </w:numPr>
        <w:spacing w:after="140"/>
      </w:pPr>
      <w:r>
        <w:t xml:space="preserve">Based on your 6 ads, does networking/network-security knowledge look like a ‘nice to have’ or a baseline expectation for entry-level cybersecurity roles? Justify using your tally.</w:t>
      </w:r>
    </w:p>
    <w:p>
      <w:pPr>
        <w:pStyle w:val="ListParagraph"/>
        <w:numPr>
          <w:ilvl w:val="0"/>
          <w:numId w:val="4"/>
        </w:numPr>
        <w:spacing w:after="140"/>
      </w:pPr>
      <w:r>
        <w:t xml:space="preserve">Did you notice a difference between local and international ads in how explicitly they mention networking skills, or in the seniority/scope expected for an ‘entry-level’ title? Describe what you found.</w:t>
      </w:r>
    </w:p>
    <w:p>
      <w:pPr>
        <w:pStyle w:val="ListParagraph"/>
        <w:numPr>
          <w:ilvl w:val="0"/>
          <w:numId w:val="4"/>
        </w:numPr>
        <w:spacing w:after="140"/>
      </w:pPr>
      <w:r>
        <w:t xml:space="preserve">Pick the single job ad from your table that lists the most specific networking requirement (e.g. names a protocol, tool, or certification). Which topic(s) from this module's 14-week roadmap map onto that requirement?</w:t>
      </w:r>
    </w:p>
    <w:p>
      <w:pPr>
        <w:pStyle w:val="ListParagraph"/>
        <w:numPr>
          <w:ilvl w:val="0"/>
          <w:numId w:val="4"/>
        </w:numPr>
        <w:spacing w:after="140"/>
      </w:pPr>
      <w:r>
        <w:t xml:space="preserve">Based on this scan, name one topic from the Week 1–14 roadmap you're now most motivated to focus on, and why.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ctvyzv6kjlmth4anyax" Type="http://schemas.openxmlformats.org/officeDocument/2006/relationships/hyperlink" Target="https://insights.integrity360.com/the-biggest-cyber-attacks-of-2025-and-what-they-mean-for-2026" TargetMode="External"/><Relationship Id="rIde_o-qturwsxwnfc3rfpyu" Type="http://schemas.openxmlformats.org/officeDocument/2006/relationships/hyperlink" Target="https://www.cisa.gov/news-events/cybersecurity-advisories/aa24-060b" TargetMode="External"/><Relationship Id="rIds6yjhbpr5d0qwtrv19kbw" Type="http://schemas.openxmlformats.org/officeDocument/2006/relationships/hyperlink" Target="https://www.csis.org/programs/strategic-technologies-program/significant-cyber-incidents" TargetMode="External"/><Relationship Id="rIdzukqbgiazlubvvdmqnwcr" Type="http://schemas.openxmlformats.org/officeDocument/2006/relationships/hyperlink" Target="https://www.brightdefense.com/resources/recent-data-breach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2026-07-13T05:55:43.712Z</dcterms:created>
  <dcterms:modified xsi:type="dcterms:W3CDTF">2026-07-13T05:55:43.722Z</dcterms:modified>
</cp:coreProperties>
</file>

<file path=docProps/custom.xml><?xml version="1.0" encoding="utf-8"?>
<Properties xmlns="http://schemas.openxmlformats.org/officeDocument/2006/custom-properties" xmlns:vt="http://schemas.openxmlformats.org/officeDocument/2006/docPropsVTypes"/>
</file>