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 Department of Computer Systems Engineering</w:t>
      </w:r>
    </w:p>
    <w:p>
      <w:pPr>
        <w:spacing w:after="80"/>
        <w:jc w:val="center"/>
      </w:pPr>
      <w:r>
        <w:rPr>
          <w:b/>
          <w:bCs/>
          <w:color w:val="003054"/>
          <w:sz w:val="32"/>
          <w:szCs w:val="32"/>
        </w:rPr>
        <w:t xml:space="preserve">IE3122 – Network Security</w:t>
      </w:r>
    </w:p>
    <w:p>
      <w:pPr>
        <w:spacing w:after="300"/>
        <w:jc w:val="center"/>
      </w:pPr>
      <w:r>
        <w:rPr>
          <w:b/>
          <w:bCs/>
          <w:color w:val="0070C0"/>
          <w:sz w:val="26"/>
          <w:szCs w:val="26"/>
        </w:rPr>
        <w:t xml:space="preserve">Week 2 Lab Guide: Threat Classification &amp; Layered Defense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Week 2 — Networking and Security Revision lecture (threat actors, attack types, security controls)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Runs in</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Week 3 lab session (labs trail lectures by one week)</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Learning Outcomes</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LO1 (describe network vulnerabilities/attacks) and LO3 (analyse requirements, communicate security needs)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Format</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Part A: research + classification. Part B: scenario-based control design. No Packet Tracer this week.</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Submission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Completed answer sheet (this document, filled in) — submission method per course page</w:t>
            </w:r>
          </w:p>
        </w:tc>
      </w:tr>
    </w:tbl>
    <w:p>
      <w:pPr>
        <w:spacing w:after="200"/>
      </w:pPr>
    </w:p>
    <w:p>
      <w:pPr>
        <w:spacing w:after="160"/>
      </w:pPr>
      <w:r>
        <w:t xml:space="preserve">This lab has two parts. Part A has you apply this week's threat-actor and attack-category framework to real incidents — some you've already seen in Week 1's lab, now viewed through a new lens. Part B has you design a layered set of security controls for a small company, using the threat-modeling process from the lecture. Together, they're direct practice for the kind of reasoning LO1 and LO3 expect.</w:t>
      </w:r>
    </w:p>
    <w:p>
      <w:r>
        <w:br w:type="page"/>
      </w:r>
    </w:p>
    <w:p>
      <w:pPr>
        <w:pStyle w:val="Heading1"/>
        <w:spacing w:after="140" w:before="320"/>
      </w:pPr>
      <w:r>
        <w:t xml:space="preserve">Part A — Classify the Threat Actor and Attack Category</w:t>
      </w:r>
    </w:p>
    <w:p>
      <w:pPr>
        <w:spacing w:after="160"/>
      </w:pPr>
      <w:r>
        <w:t xml:space="preserve">For each incident below, read the source link (or recall it from Week 1's lab, where marked), then answer the three classification questions in your own words. There often isn't one single ‘correct’ answer — justify your reasoning using this week's definitions.</w:t>
      </w:r>
    </w:p>
    <w:p>
      <w:pPr>
        <w:spacing w:after="160"/>
      </w:pPr>
      <w:r>
        <w:rPr>
          <w:i/>
          <w:iCs/>
          <w:color w:val="6B7682"/>
          <w:sz w:val="20"/>
          <w:szCs w:val="20"/>
        </w:rPr>
        <w:t xml:space="preserve">For every incident, answer: (1) Which of today's four attack categories best fits — malware, social engineering, DoS/DDoS, or access &amp; reconnaissance? (More than one may apply — say which is primary.) (2) Which threat-actor category (hat, or role-based like state-sponsored/script kiddie/hacktivist) most plausibly fits, and why? (3) What was the likely motivation?</w:t>
      </w:r>
    </w:p>
    <w:p>
      <w:pPr>
        <w:spacing w:after="100"/>
      </w:pPr>
    </w:p>
    <w:p>
      <w:pPr>
        <w:pStyle w:val="Heading2"/>
        <w:spacing w:after="100" w:before="260"/>
      </w:pPr>
      <w:r>
        <w:t xml:space="preserve">Incident 1: UK Retail Ransomware Campaign (Marks &amp; Spencer, Co-op, Harrods)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When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April–May 2025</w:t>
            </w:r>
          </w:p>
        </w:tc>
      </w:tr>
    </w:tbl>
    <w:p>
      <w:pPr>
        <w:spacing w:after="120"/>
      </w:pPr>
    </w:p>
    <w:p>
      <w:pPr>
        <w:spacing w:after="160"/>
      </w:pPr>
      <w:r>
        <w:t xml:space="preserve">Source: </w:t>
      </w:r>
      <w:hyperlink w:history="1" r:id="rIdypn0ddlgxuqswm2pt4ntx">
        <w:r>
          <w:rPr>
            <w:rStyle w:val="Hyperlink"/>
          </w:rPr>
          <w:t xml:space="preserve">Integrity360: The biggest cyber attacks of 2025</w:t>
        </w:r>
      </w:hyperlink>
    </w:p>
    <w:p>
      <w:pPr>
        <w:pStyle w:val="Heading3"/>
        <w:spacing w:after="100" w:before="200"/>
      </w:pPr>
      <w:r>
        <w:t xml:space="preserve">Summary</w:t>
      </w:r>
    </w:p>
    <w:p>
      <w:pPr>
        <w:spacing w:after="160"/>
      </w:pPr>
      <w:r>
        <w:t xml:space="preserve">A ransomware campaign linked to the Scattered Spider group hit several major UK retailers within weeks of each other. The attackers used social-engineering techniques against a help desk to compromise a third party's access, then used that trusted access to deploy ransomware inside the retailers' own systems.</w:t>
      </w:r>
    </w:p>
    <w:p>
      <w:pPr>
        <w:pStyle w:val="Heading3"/>
        <w:spacing w:after="100" w:before="200"/>
      </w:pPr>
      <w:r>
        <w:t xml:space="preserve">Your Classification</w:t>
      </w:r>
    </w:p>
    <w:p>
      <w:pPr>
        <w:spacing w:after="160"/>
      </w:pPr>
      <w:r>
        <w:rPr>
          <w:b/>
          <w:bCs/>
          <w:sz w:val="21"/>
          <w:szCs w:val="21"/>
        </w:rPr>
        <w:t xml:space="preserve">Attack category (and why):</w:t>
      </w:r>
    </w:p>
    <w:p>
      <w:pPr>
        <w:pBdr>
          <w:bottom w:val="single" w:color="C9CFD6" w:sz="4" w:space="1"/>
        </w:pBdr>
        <w:spacing w:after="200"/>
      </w:pPr>
      <w:r>
        <w:t xml:space="preserve"> </w:t>
      </w:r>
    </w:p>
    <w:p>
      <w:pPr>
        <w:pBdr>
          <w:bottom w:val="single" w:color="C9CFD6" w:sz="4" w:space="1"/>
        </w:pBdr>
        <w:spacing w:after="200"/>
      </w:pPr>
      <w:r>
        <w:t xml:space="preserve"> </w:t>
      </w:r>
    </w:p>
    <w:p>
      <w:pPr>
        <w:spacing w:after="160"/>
      </w:pPr>
      <w:r>
        <w:rPr>
          <w:b/>
          <w:bCs/>
          <w:sz w:val="21"/>
          <w:szCs w:val="21"/>
        </w:rPr>
        <w:t xml:space="preserve">Likely threat-actor category (and why):</w:t>
      </w:r>
    </w:p>
    <w:p>
      <w:pPr>
        <w:pBdr>
          <w:bottom w:val="single" w:color="C9CFD6" w:sz="4" w:space="1"/>
        </w:pBdr>
        <w:spacing w:after="200"/>
      </w:pPr>
      <w:r>
        <w:t xml:space="preserve"> </w:t>
      </w:r>
    </w:p>
    <w:p>
      <w:pPr>
        <w:pBdr>
          <w:bottom w:val="single" w:color="C9CFD6" w:sz="4" w:space="1"/>
        </w:pBdr>
        <w:spacing w:after="200"/>
      </w:pPr>
      <w:r>
        <w:t xml:space="preserve"> </w:t>
      </w:r>
    </w:p>
    <w:p>
      <w:pPr>
        <w:spacing w:after="160"/>
      </w:pPr>
      <w:r>
        <w:rPr>
          <w:b/>
          <w:bCs/>
          <w:sz w:val="21"/>
          <w:szCs w:val="21"/>
        </w:rPr>
        <w:t xml:space="preserve">Likely motivation:</w:t>
      </w:r>
    </w:p>
    <w:p>
      <w:pPr>
        <w:pBdr>
          <w:bottom w:val="single" w:color="C9CFD6" w:sz="4" w:space="1"/>
        </w:pBdr>
        <w:spacing w:after="200"/>
      </w:pPr>
      <w:r>
        <w:t xml:space="preserve"> </w:t>
      </w:r>
    </w:p>
    <w:p>
      <w:pPr>
        <w:pBdr>
          <w:bottom w:val="single" w:color="C9CFD6" w:sz="4" w:space="1"/>
        </w:pBdr>
        <w:spacing w:after="200"/>
      </w:pPr>
      <w:r>
        <w:t xml:space="preserve"> </w:t>
      </w:r>
    </w:p>
    <w:p>
      <w:pPr>
        <w:pStyle w:val="Heading2"/>
        <w:spacing w:after="100" w:before="260"/>
      </w:pPr>
      <w:r>
        <w:t xml:space="preserve">Incident 2: Ivanti Connect Secure VPN — Authentication Bypass Zero-Days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When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Disclosed January 2025</w:t>
            </w:r>
          </w:p>
        </w:tc>
      </w:tr>
    </w:tbl>
    <w:p>
      <w:pPr>
        <w:spacing w:after="120"/>
      </w:pPr>
    </w:p>
    <w:p>
      <w:pPr>
        <w:spacing w:after="160"/>
      </w:pPr>
      <w:r>
        <w:t xml:space="preserve">Source: </w:t>
      </w:r>
      <w:hyperlink w:history="1" r:id="rIdoxupzga4gkdb2_zfmzrar">
        <w:r>
          <w:rPr>
            <w:rStyle w:val="Hyperlink"/>
          </w:rPr>
          <w:t xml:space="preserve">CISA Advisory AA24-060B</w:t>
        </w:r>
      </w:hyperlink>
    </w:p>
    <w:p>
      <w:pPr>
        <w:pStyle w:val="Heading3"/>
        <w:spacing w:after="100" w:before="200"/>
      </w:pPr>
      <w:r>
        <w:t xml:space="preserve">Summary</w:t>
      </w:r>
    </w:p>
    <w:p>
      <w:pPr>
        <w:spacing w:after="160"/>
      </w:pPr>
      <w:r>
        <w:t xml:space="preserve">A chain of vulnerabilities in Ivanti's VPN appliances let attackers bypass authentication entirely and run commands without ever logging in — turning a perimeter security device into the attacker's entry point across the whole network.</w:t>
      </w:r>
    </w:p>
    <w:p>
      <w:pPr>
        <w:pStyle w:val="Heading3"/>
        <w:spacing w:after="100" w:before="200"/>
      </w:pPr>
      <w:r>
        <w:t xml:space="preserve">Your Classification</w:t>
      </w:r>
    </w:p>
    <w:p>
      <w:pPr>
        <w:spacing w:after="160"/>
      </w:pPr>
      <w:r>
        <w:rPr>
          <w:b/>
          <w:bCs/>
          <w:sz w:val="21"/>
          <w:szCs w:val="21"/>
        </w:rPr>
        <w:t xml:space="preserve">Attack category (and why):</w:t>
      </w:r>
    </w:p>
    <w:p>
      <w:pPr>
        <w:pBdr>
          <w:bottom w:val="single" w:color="C9CFD6" w:sz="4" w:space="1"/>
        </w:pBdr>
        <w:spacing w:after="200"/>
      </w:pPr>
      <w:r>
        <w:t xml:space="preserve"> </w:t>
      </w:r>
    </w:p>
    <w:p>
      <w:pPr>
        <w:pBdr>
          <w:bottom w:val="single" w:color="C9CFD6" w:sz="4" w:space="1"/>
        </w:pBdr>
        <w:spacing w:after="200"/>
      </w:pPr>
      <w:r>
        <w:t xml:space="preserve"> </w:t>
      </w:r>
    </w:p>
    <w:p>
      <w:pPr>
        <w:spacing w:after="160"/>
      </w:pPr>
      <w:r>
        <w:rPr>
          <w:b/>
          <w:bCs/>
          <w:sz w:val="21"/>
          <w:szCs w:val="21"/>
        </w:rPr>
        <w:t xml:space="preserve">Likely threat-actor category (and why):</w:t>
      </w:r>
    </w:p>
    <w:p>
      <w:pPr>
        <w:pBdr>
          <w:bottom w:val="single" w:color="C9CFD6" w:sz="4" w:space="1"/>
        </w:pBdr>
        <w:spacing w:after="200"/>
      </w:pPr>
      <w:r>
        <w:t xml:space="preserve"> </w:t>
      </w:r>
    </w:p>
    <w:p>
      <w:pPr>
        <w:pBdr>
          <w:bottom w:val="single" w:color="C9CFD6" w:sz="4" w:space="1"/>
        </w:pBdr>
        <w:spacing w:after="200"/>
      </w:pPr>
      <w:r>
        <w:t xml:space="preserve"> </w:t>
      </w:r>
    </w:p>
    <w:p>
      <w:pPr>
        <w:spacing w:after="160"/>
      </w:pPr>
      <w:r>
        <w:rPr>
          <w:b/>
          <w:bCs/>
          <w:sz w:val="21"/>
          <w:szCs w:val="21"/>
        </w:rPr>
        <w:t xml:space="preserve">Likely motivation:</w:t>
      </w:r>
    </w:p>
    <w:p>
      <w:pPr>
        <w:pBdr>
          <w:bottom w:val="single" w:color="C9CFD6" w:sz="4" w:space="1"/>
        </w:pBdr>
        <w:spacing w:after="200"/>
      </w:pPr>
      <w:r>
        <w:t xml:space="preserve"> </w:t>
      </w:r>
    </w:p>
    <w:p>
      <w:pPr>
        <w:pBdr>
          <w:bottom w:val="single" w:color="C9CFD6" w:sz="4" w:space="1"/>
        </w:pBdr>
        <w:spacing w:after="200"/>
      </w:pPr>
      <w:r>
        <w:t xml:space="preserve"> </w:t>
      </w:r>
    </w:p>
    <w:p>
      <w:pPr>
        <w:pStyle w:val="Heading2"/>
        <w:spacing w:after="100" w:before="260"/>
      </w:pPr>
      <w:r>
        <w:t xml:space="preserve">Incident 3: Exposed Automatic Tank Gauge (ATG) Systems at U.S. Gas Stations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When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Disclosed May 2026</w:t>
            </w:r>
          </w:p>
        </w:tc>
      </w:tr>
    </w:tbl>
    <w:p>
      <w:pPr>
        <w:spacing w:after="120"/>
      </w:pPr>
    </w:p>
    <w:p>
      <w:pPr>
        <w:spacing w:after="160"/>
      </w:pPr>
      <w:r>
        <w:t xml:space="preserve">Source: </w:t>
      </w:r>
      <w:hyperlink w:history="1" r:id="rId1pvja0uebxnfjjos0zwvk">
        <w:r>
          <w:rPr>
            <w:rStyle w:val="Hyperlink"/>
          </w:rPr>
          <w:t xml:space="preserve">CSIS: Significant Cyber Incidents</w:t>
        </w:r>
      </w:hyperlink>
    </w:p>
    <w:p>
      <w:pPr>
        <w:pStyle w:val="Heading3"/>
        <w:spacing w:after="100" w:before="200"/>
      </w:pPr>
      <w:r>
        <w:t xml:space="preserve">Summary</w:t>
      </w:r>
    </w:p>
    <w:p>
      <w:pPr>
        <w:spacing w:after="160"/>
      </w:pPr>
      <w:r>
        <w:t xml:space="preserve">Fuel-tank monitoring systems at multiple gas stations were found exposed directly to the public Internet with no password protection at all — anyone who found the device's IP address could connect and monitor or manipulate it.</w:t>
      </w:r>
    </w:p>
    <w:p>
      <w:pPr>
        <w:pStyle w:val="Heading3"/>
        <w:spacing w:after="100" w:before="200"/>
      </w:pPr>
      <w:r>
        <w:t xml:space="preserve">Your Classification</w:t>
      </w:r>
    </w:p>
    <w:p>
      <w:pPr>
        <w:spacing w:after="160"/>
      </w:pPr>
      <w:r>
        <w:rPr>
          <w:b/>
          <w:bCs/>
          <w:sz w:val="21"/>
          <w:szCs w:val="21"/>
        </w:rPr>
        <w:t xml:space="preserve">Attack category (and why):</w:t>
      </w:r>
    </w:p>
    <w:p>
      <w:pPr>
        <w:pBdr>
          <w:bottom w:val="single" w:color="C9CFD6" w:sz="4" w:space="1"/>
        </w:pBdr>
        <w:spacing w:after="200"/>
      </w:pPr>
      <w:r>
        <w:t xml:space="preserve"> </w:t>
      </w:r>
    </w:p>
    <w:p>
      <w:pPr>
        <w:pBdr>
          <w:bottom w:val="single" w:color="C9CFD6" w:sz="4" w:space="1"/>
        </w:pBdr>
        <w:spacing w:after="200"/>
      </w:pPr>
      <w:r>
        <w:t xml:space="preserve"> </w:t>
      </w:r>
    </w:p>
    <w:p>
      <w:pPr>
        <w:spacing w:after="160"/>
      </w:pPr>
      <w:r>
        <w:rPr>
          <w:b/>
          <w:bCs/>
          <w:sz w:val="21"/>
          <w:szCs w:val="21"/>
        </w:rPr>
        <w:t xml:space="preserve">Likely threat-actor category (and why):</w:t>
      </w:r>
    </w:p>
    <w:p>
      <w:pPr>
        <w:pBdr>
          <w:bottom w:val="single" w:color="C9CFD6" w:sz="4" w:space="1"/>
        </w:pBdr>
        <w:spacing w:after="200"/>
      </w:pPr>
      <w:r>
        <w:t xml:space="preserve"> </w:t>
      </w:r>
    </w:p>
    <w:p>
      <w:pPr>
        <w:pBdr>
          <w:bottom w:val="single" w:color="C9CFD6" w:sz="4" w:space="1"/>
        </w:pBdr>
        <w:spacing w:after="200"/>
      </w:pPr>
      <w:r>
        <w:t xml:space="preserve"> </w:t>
      </w:r>
    </w:p>
    <w:p>
      <w:pPr>
        <w:spacing w:after="160"/>
      </w:pPr>
      <w:r>
        <w:rPr>
          <w:b/>
          <w:bCs/>
          <w:sz w:val="21"/>
          <w:szCs w:val="21"/>
        </w:rPr>
        <w:t xml:space="preserve">Likely motivation:</w:t>
      </w:r>
    </w:p>
    <w:p>
      <w:pPr>
        <w:pBdr>
          <w:bottom w:val="single" w:color="C9CFD6" w:sz="4" w:space="1"/>
        </w:pBdr>
        <w:spacing w:after="200"/>
      </w:pPr>
      <w:r>
        <w:t xml:space="preserve"> </w:t>
      </w:r>
    </w:p>
    <w:p>
      <w:pPr>
        <w:pBdr>
          <w:bottom w:val="single" w:color="C9CFD6" w:sz="4" w:space="1"/>
        </w:pBdr>
        <w:spacing w:after="200"/>
      </w:pPr>
      <w:r>
        <w:t xml:space="preserve"> </w:t>
      </w:r>
    </w:p>
    <w:p>
      <w:pPr>
        <w:pStyle w:val="Heading2"/>
        <w:spacing w:after="100" w:before="260"/>
      </w:pPr>
      <w:r>
        <w:t xml:space="preserve">Incident 4: SonicWall Cloud Backup Breach (Marquis America)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When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Disclosed 2025–2026</w:t>
            </w:r>
          </w:p>
        </w:tc>
      </w:tr>
    </w:tbl>
    <w:p>
      <w:pPr>
        <w:spacing w:after="120"/>
      </w:pPr>
    </w:p>
    <w:p>
      <w:pPr>
        <w:spacing w:after="160"/>
      </w:pPr>
      <w:r>
        <w:t xml:space="preserve">Source: </w:t>
      </w:r>
      <w:hyperlink w:history="1" r:id="rIdtfukblaizhehnvhmrgsgf">
        <w:r>
          <w:rPr>
            <w:rStyle w:val="Hyperlink"/>
          </w:rPr>
          <w:t xml:space="preserve">Bright Defense: Recent Data Breaches</w:t>
        </w:r>
      </w:hyperlink>
    </w:p>
    <w:p>
      <w:pPr>
        <w:pStyle w:val="Heading3"/>
        <w:spacing w:after="100" w:before="200"/>
      </w:pPr>
      <w:r>
        <w:t xml:space="preserve">Summary</w:t>
      </w:r>
    </w:p>
    <w:p>
      <w:pPr>
        <w:spacing w:after="160"/>
      </w:pPr>
      <w:r>
        <w:t xml:space="preserve">Marquis America suffered a data breach that it attributes to its security vendor, SonicWall — the attacker used configuration data taken from the vendor's own cloud backup infrastructure to reach Marquis's data indirectly, bypassing Marquis's own firewall and MFA entirely.</w:t>
      </w:r>
    </w:p>
    <w:p>
      <w:pPr>
        <w:pStyle w:val="Heading3"/>
        <w:spacing w:after="100" w:before="200"/>
      </w:pPr>
      <w:r>
        <w:t xml:space="preserve">Your Classification</w:t>
      </w:r>
    </w:p>
    <w:p>
      <w:pPr>
        <w:spacing w:after="160"/>
      </w:pPr>
      <w:r>
        <w:rPr>
          <w:b/>
          <w:bCs/>
          <w:sz w:val="21"/>
          <w:szCs w:val="21"/>
        </w:rPr>
        <w:t xml:space="preserve">Attack category (and why):</w:t>
      </w:r>
    </w:p>
    <w:p>
      <w:pPr>
        <w:pBdr>
          <w:bottom w:val="single" w:color="C9CFD6" w:sz="4" w:space="1"/>
        </w:pBdr>
        <w:spacing w:after="200"/>
      </w:pPr>
      <w:r>
        <w:t xml:space="preserve"> </w:t>
      </w:r>
    </w:p>
    <w:p>
      <w:pPr>
        <w:pBdr>
          <w:bottom w:val="single" w:color="C9CFD6" w:sz="4" w:space="1"/>
        </w:pBdr>
        <w:spacing w:after="200"/>
      </w:pPr>
      <w:r>
        <w:t xml:space="preserve"> </w:t>
      </w:r>
    </w:p>
    <w:p>
      <w:pPr>
        <w:spacing w:after="160"/>
      </w:pPr>
      <w:r>
        <w:rPr>
          <w:b/>
          <w:bCs/>
          <w:sz w:val="21"/>
          <w:szCs w:val="21"/>
        </w:rPr>
        <w:t xml:space="preserve">Likely threat-actor category (and why):</w:t>
      </w:r>
    </w:p>
    <w:p>
      <w:pPr>
        <w:pBdr>
          <w:bottom w:val="single" w:color="C9CFD6" w:sz="4" w:space="1"/>
        </w:pBdr>
        <w:spacing w:after="200"/>
      </w:pPr>
      <w:r>
        <w:t xml:space="preserve"> </w:t>
      </w:r>
    </w:p>
    <w:p>
      <w:pPr>
        <w:pBdr>
          <w:bottom w:val="single" w:color="C9CFD6" w:sz="4" w:space="1"/>
        </w:pBdr>
        <w:spacing w:after="200"/>
      </w:pPr>
      <w:r>
        <w:t xml:space="preserve"> </w:t>
      </w:r>
    </w:p>
    <w:p>
      <w:pPr>
        <w:spacing w:after="160"/>
      </w:pPr>
      <w:r>
        <w:rPr>
          <w:b/>
          <w:bCs/>
          <w:sz w:val="21"/>
          <w:szCs w:val="21"/>
        </w:rPr>
        <w:t xml:space="preserve">Likely motivation:</w:t>
      </w:r>
    </w:p>
    <w:p>
      <w:pPr>
        <w:pBdr>
          <w:bottom w:val="single" w:color="C9CFD6" w:sz="4" w:space="1"/>
        </w:pBdr>
        <w:spacing w:after="200"/>
      </w:pPr>
      <w:r>
        <w:t xml:space="preserve"> </w:t>
      </w:r>
    </w:p>
    <w:p>
      <w:pPr>
        <w:pBdr>
          <w:bottom w:val="single" w:color="C9CFD6" w:sz="4" w:space="1"/>
        </w:pBdr>
        <w:spacing w:after="200"/>
      </w:pPr>
      <w:r>
        <w:t xml:space="preserve"> </w:t>
      </w:r>
    </w:p>
    <w:p>
      <w:pPr>
        <w:pStyle w:val="Heading2"/>
        <w:spacing w:after="100" w:before="260"/>
      </w:pPr>
      <w:r>
        <w:t xml:space="preserve">Incident 5: Mirai Botnet DDoS Attacks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When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2016 (technique still in active use today)</w:t>
            </w:r>
          </w:p>
        </w:tc>
      </w:tr>
    </w:tbl>
    <w:p>
      <w:pPr>
        <w:spacing w:after="120"/>
      </w:pPr>
    </w:p>
    <w:p>
      <w:pPr>
        <w:spacing w:after="160"/>
      </w:pPr>
      <w:r>
        <w:t xml:space="preserve">Source: </w:t>
      </w:r>
      <w:hyperlink w:history="1" r:id="rIdtdbjv0nebxuox3addxix-">
        <w:r>
          <w:rPr>
            <w:rStyle w:val="Hyperlink"/>
          </w:rPr>
          <w:t xml:space="preserve">CISA: Mirai Botnet advisory</w:t>
        </w:r>
      </w:hyperlink>
    </w:p>
    <w:p>
      <w:pPr>
        <w:pStyle w:val="Heading3"/>
        <w:spacing w:after="100" w:before="200"/>
      </w:pPr>
      <w:r>
        <w:t xml:space="preserve">Summary</w:t>
      </w:r>
    </w:p>
    <w:p>
      <w:pPr>
        <w:spacing w:after="160"/>
      </w:pPr>
      <w:r>
        <w:t xml:space="preserve">Malware scanned the Internet for IoT devices (cameras, home routers) still using default passwords, infected them, and enrolled them into a botnet. That botnet was then used to launch some of the largest DDoS attacks recorded at the time, including one that disrupted major internet services via a DNS provider.</w:t>
      </w:r>
    </w:p>
    <w:p>
      <w:pPr>
        <w:pStyle w:val="Heading3"/>
        <w:spacing w:after="100" w:before="200"/>
      </w:pPr>
      <w:r>
        <w:t xml:space="preserve">Your Classification</w:t>
      </w:r>
    </w:p>
    <w:p>
      <w:pPr>
        <w:spacing w:after="160"/>
      </w:pPr>
      <w:r>
        <w:rPr>
          <w:b/>
          <w:bCs/>
          <w:sz w:val="21"/>
          <w:szCs w:val="21"/>
        </w:rPr>
        <w:t xml:space="preserve">Attack category (and why):</w:t>
      </w:r>
    </w:p>
    <w:p>
      <w:pPr>
        <w:pBdr>
          <w:bottom w:val="single" w:color="C9CFD6" w:sz="4" w:space="1"/>
        </w:pBdr>
        <w:spacing w:after="200"/>
      </w:pPr>
      <w:r>
        <w:t xml:space="preserve"> </w:t>
      </w:r>
    </w:p>
    <w:p>
      <w:pPr>
        <w:pBdr>
          <w:bottom w:val="single" w:color="C9CFD6" w:sz="4" w:space="1"/>
        </w:pBdr>
        <w:spacing w:after="200"/>
      </w:pPr>
      <w:r>
        <w:t xml:space="preserve"> </w:t>
      </w:r>
    </w:p>
    <w:p>
      <w:pPr>
        <w:spacing w:after="160"/>
      </w:pPr>
      <w:r>
        <w:rPr>
          <w:b/>
          <w:bCs/>
          <w:sz w:val="21"/>
          <w:szCs w:val="21"/>
        </w:rPr>
        <w:t xml:space="preserve">Likely threat-actor category (and why):</w:t>
      </w:r>
    </w:p>
    <w:p>
      <w:pPr>
        <w:pBdr>
          <w:bottom w:val="single" w:color="C9CFD6" w:sz="4" w:space="1"/>
        </w:pBdr>
        <w:spacing w:after="200"/>
      </w:pPr>
      <w:r>
        <w:t xml:space="preserve"> </w:t>
      </w:r>
    </w:p>
    <w:p>
      <w:pPr>
        <w:pBdr>
          <w:bottom w:val="single" w:color="C9CFD6" w:sz="4" w:space="1"/>
        </w:pBdr>
        <w:spacing w:after="200"/>
      </w:pPr>
      <w:r>
        <w:t xml:space="preserve"> </w:t>
      </w:r>
    </w:p>
    <w:p>
      <w:pPr>
        <w:spacing w:after="160"/>
      </w:pPr>
      <w:r>
        <w:rPr>
          <w:b/>
          <w:bCs/>
          <w:sz w:val="21"/>
          <w:szCs w:val="21"/>
        </w:rPr>
        <w:t xml:space="preserve">Likely motivation:</w:t>
      </w:r>
    </w:p>
    <w:p>
      <w:pPr>
        <w:pBdr>
          <w:bottom w:val="single" w:color="C9CFD6" w:sz="4" w:space="1"/>
        </w:pBdr>
        <w:spacing w:after="200"/>
      </w:pPr>
      <w:r>
        <w:t xml:space="preserve"> </w:t>
      </w:r>
    </w:p>
    <w:p>
      <w:pPr>
        <w:pBdr>
          <w:bottom w:val="single" w:color="C9CFD6" w:sz="4" w:space="1"/>
        </w:pBdr>
        <w:spacing w:after="200"/>
      </w:pPr>
      <w:r>
        <w:t xml:space="preserve"> </w:t>
      </w:r>
    </w:p>
    <w:p>
      <w:r>
        <w:br w:type="page"/>
      </w:r>
    </w:p>
    <w:p>
      <w:pPr>
        <w:pStyle w:val="Heading1"/>
        <w:spacing w:after="140" w:before="320"/>
      </w:pPr>
      <w:r>
        <w:t xml:space="preserve">Part B — Design a Layered Defense</w:t>
      </w:r>
    </w:p>
    <w:p>
      <w:pPr>
        <w:spacing w:after="160"/>
      </w:pPr>
      <w:r>
        <w:t xml:space="preserve">Scenario: MediCare Plus — a small medical clinic. MediCare Plus is a 15-staff medical clinic. They keep patient records in a digital system accessible from the front-desk PC and doctors' laptops, run a public appointment-booking website, and store backups on a server in a back office (also used as a general storage room). Staff use personal email accounts for some work correspondence because the clinic has no formal email policy.</w:t>
      </w:r>
    </w:p>
    <w:p>
      <w:pPr>
        <w:pStyle w:val="Heading2"/>
        <w:spacing w:after="100" w:before="260"/>
      </w:pPr>
      <w:r>
        <w:t xml:space="preserve">Assets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003054" w:color="auto" w:val="clear"/>
            <w:tcMar>
              <w:top w:type="dxa" w:w="80"/>
              <w:left w:type="dxa" w:w="100"/>
              <w:bottom w:type="dxa" w:w="80"/>
              <w:right w:type="dxa" w:w="100"/>
            </w:tcMar>
          </w:tcPr>
          <w:p>
            <w:r>
              <w:rPr>
                <w:b/>
                <w:bCs/>
                <w:i w:val="false"/>
                <w:iCs w:val="false"/>
                <w:color w:val="FFFFFF"/>
              </w:rPr>
              <w:t xml:space="preserve">Asset</w:t>
            </w:r>
          </w:p>
        </w:tc>
        <w:tc>
          <w:tcPr>
            <w:tcW w:type="dxa" w:w="6350"/>
            <w:shd w:fill="003054" w:color="auto" w:val="clear"/>
            <w:tcMar>
              <w:top w:type="dxa" w:w="80"/>
              <w:left w:type="dxa" w:w="100"/>
              <w:bottom w:type="dxa" w:w="80"/>
              <w:right w:type="dxa" w:w="100"/>
            </w:tcMar>
          </w:tcPr>
          <w:p>
            <w:r>
              <w:rPr>
                <w:b/>
                <w:bCs/>
                <w:i w:val="false"/>
                <w:iCs w:val="false"/>
                <w:color w:val="FFFFFF"/>
              </w:rPr>
              <w:t xml:space="preserve">Why it matters</w:t>
            </w:r>
          </w:p>
        </w:tc>
      </w:tr>
      <w:tr>
        <w:tc>
          <w:tcPr>
            <w:tcW w:type="dxa" w:w="3000"/>
            <w:shd w:fill="FFFFFF" w:color="auto" w:val="clear"/>
            <w:tcMar>
              <w:top w:type="dxa" w:w="80"/>
              <w:left w:type="dxa" w:w="100"/>
              <w:bottom w:type="dxa" w:w="80"/>
              <w:right w:type="dxa" w:w="100"/>
            </w:tcMar>
          </w:tcPr>
          <w:p>
            <w:r>
              <w:rPr>
                <w:b w:val="false"/>
                <w:bCs w:val="false"/>
                <w:i w:val="false"/>
                <w:iCs w:val="false"/>
                <w:color w:val="000000"/>
              </w:rPr>
              <w:t xml:space="preserve">Patient records</w:t>
            </w:r>
          </w:p>
        </w:tc>
        <w:tc>
          <w:tcPr>
            <w:tcW w:type="dxa" w:w="6350"/>
            <w:shd w:fill="FFFFFF" w:color="auto" w:val="clear"/>
            <w:tcMar>
              <w:top w:type="dxa" w:w="80"/>
              <w:left w:type="dxa" w:w="100"/>
              <w:bottom w:type="dxa" w:w="80"/>
              <w:right w:type="dxa" w:w="100"/>
            </w:tcMar>
          </w:tcPr>
          <w:p>
            <w:r>
              <w:rPr>
                <w:b w:val="false"/>
                <w:bCs w:val="false"/>
                <w:i w:val="false"/>
                <w:iCs w:val="false"/>
                <w:color w:val="000000"/>
              </w:rPr>
              <w:t xml:space="preserve">Highly sensitive, legally protected, high value to attackers</w:t>
            </w:r>
          </w:p>
        </w:tc>
      </w:tr>
      <w:tr>
        <w:tc>
          <w:tcPr>
            <w:tcW w:type="dxa" w:w="3000"/>
            <w:shd w:fill="F2F4F7" w:color="auto" w:val="clear"/>
            <w:tcMar>
              <w:top w:type="dxa" w:w="80"/>
              <w:left w:type="dxa" w:w="100"/>
              <w:bottom w:type="dxa" w:w="80"/>
              <w:right w:type="dxa" w:w="100"/>
            </w:tcMar>
          </w:tcPr>
          <w:p>
            <w:r>
              <w:rPr>
                <w:b w:val="false"/>
                <w:bCs w:val="false"/>
                <w:i w:val="false"/>
                <w:iCs w:val="false"/>
                <w:color w:val="000000"/>
              </w:rPr>
              <w:t xml:space="preserve">Appointment booking website</w:t>
            </w:r>
          </w:p>
        </w:tc>
        <w:tc>
          <w:tcPr>
            <w:tcW w:type="dxa" w:w="6350"/>
            <w:shd w:fill="F2F4F7" w:color="auto" w:val="clear"/>
            <w:tcMar>
              <w:top w:type="dxa" w:w="80"/>
              <w:left w:type="dxa" w:w="100"/>
              <w:bottom w:type="dxa" w:w="80"/>
              <w:right w:type="dxa" w:w="100"/>
            </w:tcMar>
          </w:tcPr>
          <w:p>
            <w:r>
              <w:rPr>
                <w:b w:val="false"/>
                <w:bCs w:val="false"/>
                <w:i w:val="false"/>
                <w:iCs w:val="false"/>
                <w:color w:val="000000"/>
              </w:rPr>
              <w:t xml:space="preserve">Public-facing; needed for daily operations</w:t>
            </w:r>
          </w:p>
        </w:tc>
      </w:tr>
      <w:tr>
        <w:tc>
          <w:tcPr>
            <w:tcW w:type="dxa" w:w="3000"/>
            <w:shd w:fill="FFFFFF" w:color="auto" w:val="clear"/>
            <w:tcMar>
              <w:top w:type="dxa" w:w="80"/>
              <w:left w:type="dxa" w:w="100"/>
              <w:bottom w:type="dxa" w:w="80"/>
              <w:right w:type="dxa" w:w="100"/>
            </w:tcMar>
          </w:tcPr>
          <w:p>
            <w:r>
              <w:rPr>
                <w:b w:val="false"/>
                <w:bCs w:val="false"/>
                <w:i w:val="false"/>
                <w:iCs w:val="false"/>
                <w:color w:val="000000"/>
              </w:rPr>
              <w:t xml:space="preserve">Backup server</w:t>
            </w:r>
          </w:p>
        </w:tc>
        <w:tc>
          <w:tcPr>
            <w:tcW w:type="dxa" w:w="6350"/>
            <w:shd w:fill="FFFFFF" w:color="auto" w:val="clear"/>
            <w:tcMar>
              <w:top w:type="dxa" w:w="80"/>
              <w:left w:type="dxa" w:w="100"/>
              <w:bottom w:type="dxa" w:w="80"/>
              <w:right w:type="dxa" w:w="100"/>
            </w:tcMar>
          </w:tcPr>
          <w:p>
            <w:r>
              <w:rPr>
                <w:b w:val="false"/>
                <w:bCs w:val="false"/>
                <w:i w:val="false"/>
                <w:iCs w:val="false"/>
                <w:color w:val="000000"/>
              </w:rPr>
              <w:t xml:space="preserve">Physically accessible in a general storage room</w:t>
            </w:r>
          </w:p>
        </w:tc>
      </w:tr>
    </w:tbl>
    <w:p>
      <w:pPr>
        <w:spacing w:after="200"/>
      </w:pPr>
    </w:p>
    <w:p>
      <w:pPr>
        <w:pStyle w:val="Heading2"/>
        <w:spacing w:after="100" w:before="260"/>
      </w:pPr>
      <w:r>
        <w:t xml:space="preserve">Step 1 — Mini Threat Model</w:t>
      </w:r>
    </w:p>
    <w:p>
      <w:pPr>
        <w:spacing w:after="160"/>
      </w:pPr>
      <w:r>
        <w:t xml:space="preserve">Pick two of the three assets above. For each, apply the threat-modeling process from the lecture: identify a plausible threat, the vulnerability it would exploit, and your assessment of the risk (low/medium/high, with a one-line justification).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350"/>
        <w:gridCol w:w="2350"/>
        <w:gridCol w:w="2550"/>
      </w:tblGrid>
      <w:tr>
        <w:tc>
          <w:tcPr>
            <w:tcW w:type="dxa" w:w="2100"/>
            <w:shd w:fill="003054" w:color="auto" w:val="clear"/>
            <w:tcMar>
              <w:top w:type="dxa" w:w="80"/>
              <w:left w:type="dxa" w:w="100"/>
              <w:bottom w:type="dxa" w:w="80"/>
              <w:right w:type="dxa" w:w="100"/>
            </w:tcMar>
          </w:tcPr>
          <w:p>
            <w:r>
              <w:rPr>
                <w:b/>
                <w:bCs/>
                <w:i w:val="false"/>
                <w:iCs w:val="false"/>
                <w:color w:val="FFFFFF"/>
              </w:rPr>
              <w:t xml:space="preserve">Asset</w:t>
            </w:r>
          </w:p>
        </w:tc>
        <w:tc>
          <w:tcPr>
            <w:tcW w:type="dxa" w:w="2350"/>
            <w:shd w:fill="003054" w:color="auto" w:val="clear"/>
            <w:tcMar>
              <w:top w:type="dxa" w:w="80"/>
              <w:left w:type="dxa" w:w="100"/>
              <w:bottom w:type="dxa" w:w="80"/>
              <w:right w:type="dxa" w:w="100"/>
            </w:tcMar>
          </w:tcPr>
          <w:p>
            <w:r>
              <w:rPr>
                <w:b/>
                <w:bCs/>
                <w:i w:val="false"/>
                <w:iCs w:val="false"/>
                <w:color w:val="FFFFFF"/>
              </w:rPr>
              <w:t xml:space="preserve">Threat</w:t>
            </w:r>
          </w:p>
        </w:tc>
        <w:tc>
          <w:tcPr>
            <w:tcW w:type="dxa" w:w="2350"/>
            <w:shd w:fill="003054" w:color="auto" w:val="clear"/>
            <w:tcMar>
              <w:top w:type="dxa" w:w="80"/>
              <w:left w:type="dxa" w:w="100"/>
              <w:bottom w:type="dxa" w:w="80"/>
              <w:right w:type="dxa" w:w="100"/>
            </w:tcMar>
          </w:tcPr>
          <w:p>
            <w:r>
              <w:rPr>
                <w:b/>
                <w:bCs/>
                <w:i w:val="false"/>
                <w:iCs w:val="false"/>
                <w:color w:val="FFFFFF"/>
              </w:rPr>
              <w:t xml:space="preserve">Vulnerability</w:t>
            </w:r>
          </w:p>
        </w:tc>
        <w:tc>
          <w:tcPr>
            <w:tcW w:type="dxa" w:w="2550"/>
            <w:shd w:fill="003054" w:color="auto" w:val="clear"/>
            <w:tcMar>
              <w:top w:type="dxa" w:w="80"/>
              <w:left w:type="dxa" w:w="100"/>
              <w:bottom w:type="dxa" w:w="80"/>
              <w:right w:type="dxa" w:w="100"/>
            </w:tcMar>
          </w:tcPr>
          <w:p>
            <w:r>
              <w:rPr>
                <w:b/>
                <w:bCs/>
                <w:i w:val="false"/>
                <w:iCs w:val="false"/>
                <w:color w:val="FFFFFF"/>
              </w:rPr>
              <w:t xml:space="preserve">Risk (+ why)</w:t>
            </w:r>
          </w:p>
        </w:tc>
      </w:tr>
      <w:tr>
        <w:tc>
          <w:tcPr>
            <w:tcW w:type="dxa" w:w="2100"/>
            <w:shd w:fill="FFFFFF" w:color="auto" w:val="clear"/>
            <w:tcMar>
              <w:top w:type="dxa" w:w="80"/>
              <w:left w:type="dxa" w:w="100"/>
              <w:bottom w:type="dxa" w:w="80"/>
              <w:right w:type="dxa" w:w="100"/>
            </w:tcMar>
          </w:tcPr>
          <w:p>
            <w:r>
              <w:rPr>
                <w:b w:val="false"/>
                <w:bCs w:val="false"/>
                <w:i w:val="false"/>
                <w:iCs w:val="false"/>
                <w:color w:val="000000"/>
              </w:rPr>
              <w:t xml:space="preserve"/>
            </w:r>
          </w:p>
        </w:tc>
        <w:tc>
          <w:tcPr>
            <w:tcW w:type="dxa" w:w="2350"/>
            <w:shd w:fill="FFFFFF" w:color="auto" w:val="clear"/>
            <w:tcMar>
              <w:top w:type="dxa" w:w="80"/>
              <w:left w:type="dxa" w:w="100"/>
              <w:bottom w:type="dxa" w:w="80"/>
              <w:right w:type="dxa" w:w="100"/>
            </w:tcMar>
          </w:tcPr>
          <w:p>
            <w:r>
              <w:rPr>
                <w:b w:val="false"/>
                <w:bCs w:val="false"/>
                <w:i w:val="false"/>
                <w:iCs w:val="false"/>
                <w:color w:val="000000"/>
              </w:rPr>
              <w:t xml:space="preserve"/>
            </w:r>
          </w:p>
        </w:tc>
        <w:tc>
          <w:tcPr>
            <w:tcW w:type="dxa" w:w="2350"/>
            <w:shd w:fill="FFFFFF" w:color="auto" w:val="clear"/>
            <w:tcMar>
              <w:top w:type="dxa" w:w="80"/>
              <w:left w:type="dxa" w:w="100"/>
              <w:bottom w:type="dxa" w:w="80"/>
              <w:right w:type="dxa" w:w="100"/>
            </w:tcMar>
          </w:tcPr>
          <w:p>
            <w:r>
              <w:rPr>
                <w:b w:val="false"/>
                <w:bCs w:val="false"/>
                <w:i w:val="false"/>
                <w:iCs w:val="false"/>
                <w:color w:val="000000"/>
              </w:rPr>
              <w:t xml:space="preserve"/>
            </w:r>
          </w:p>
        </w:tc>
        <w:tc>
          <w:tcPr>
            <w:tcW w:type="dxa" w:w="2550"/>
            <w:shd w:fill="FFFFFF" w:color="auto" w:val="clear"/>
            <w:tcMar>
              <w:top w:type="dxa" w:w="80"/>
              <w:left w:type="dxa" w:w="100"/>
              <w:bottom w:type="dxa" w:w="80"/>
              <w:right w:type="dxa" w:w="100"/>
            </w:tcMar>
          </w:tcPr>
          <w:p>
            <w:r>
              <w:rPr>
                <w:b w:val="false"/>
                <w:bCs w:val="false"/>
                <w:i w:val="false"/>
                <w:iCs w:val="false"/>
                <w:color w:val="000000"/>
              </w:rPr>
              <w:t xml:space="preserve"/>
            </w:r>
          </w:p>
        </w:tc>
      </w:tr>
      <w:tr>
        <w:tc>
          <w:tcPr>
            <w:tcW w:type="dxa" w:w="2100"/>
            <w:shd w:fill="F2F4F7" w:color="auto" w:val="clear"/>
            <w:tcMar>
              <w:top w:type="dxa" w:w="80"/>
              <w:left w:type="dxa" w:w="100"/>
              <w:bottom w:type="dxa" w:w="80"/>
              <w:right w:type="dxa" w:w="100"/>
            </w:tcMar>
          </w:tcPr>
          <w:p>
            <w:r>
              <w:rPr>
                <w:b w:val="false"/>
                <w:bCs w:val="false"/>
                <w:i w:val="false"/>
                <w:iCs w:val="false"/>
                <w:color w:val="000000"/>
              </w:rPr>
              <w:t xml:space="preserve"/>
            </w:r>
          </w:p>
        </w:tc>
        <w:tc>
          <w:tcPr>
            <w:tcW w:type="dxa" w:w="2350"/>
            <w:shd w:fill="F2F4F7" w:color="auto" w:val="clear"/>
            <w:tcMar>
              <w:top w:type="dxa" w:w="80"/>
              <w:left w:type="dxa" w:w="100"/>
              <w:bottom w:type="dxa" w:w="80"/>
              <w:right w:type="dxa" w:w="100"/>
            </w:tcMar>
          </w:tcPr>
          <w:p>
            <w:r>
              <w:rPr>
                <w:b w:val="false"/>
                <w:bCs w:val="false"/>
                <w:i w:val="false"/>
                <w:iCs w:val="false"/>
                <w:color w:val="000000"/>
              </w:rPr>
              <w:t xml:space="preserve"/>
            </w:r>
          </w:p>
        </w:tc>
        <w:tc>
          <w:tcPr>
            <w:tcW w:type="dxa" w:w="2350"/>
            <w:shd w:fill="F2F4F7" w:color="auto" w:val="clear"/>
            <w:tcMar>
              <w:top w:type="dxa" w:w="80"/>
              <w:left w:type="dxa" w:w="100"/>
              <w:bottom w:type="dxa" w:w="80"/>
              <w:right w:type="dxa" w:w="100"/>
            </w:tcMar>
          </w:tcPr>
          <w:p>
            <w:r>
              <w:rPr>
                <w:b w:val="false"/>
                <w:bCs w:val="false"/>
                <w:i w:val="false"/>
                <w:iCs w:val="false"/>
                <w:color w:val="000000"/>
              </w:rPr>
              <w:t xml:space="preserve"/>
            </w:r>
          </w:p>
        </w:tc>
        <w:tc>
          <w:tcPr>
            <w:tcW w:type="dxa" w:w="2550"/>
            <w:shd w:fill="F2F4F7" w:color="auto" w:val="clear"/>
            <w:tcMar>
              <w:top w:type="dxa" w:w="80"/>
              <w:left w:type="dxa" w:w="100"/>
              <w:bottom w:type="dxa" w:w="80"/>
              <w:right w:type="dxa" w:w="100"/>
            </w:tcMar>
          </w:tcPr>
          <w:p>
            <w:r>
              <w:rPr>
                <w:b w:val="false"/>
                <w:bCs w:val="false"/>
                <w:i w:val="false"/>
                <w:iCs w:val="false"/>
                <w:color w:val="000000"/>
              </w:rPr>
              <w:t xml:space="preserve"/>
            </w:r>
          </w:p>
        </w:tc>
      </w:tr>
    </w:tbl>
    <w:p>
      <w:pPr>
        <w:spacing w:after="200"/>
      </w:pPr>
    </w:p>
    <w:p>
      <w:pPr>
        <w:pStyle w:val="Heading2"/>
        <w:spacing w:after="100" w:before="260"/>
      </w:pPr>
      <w:r>
        <w:t xml:space="preserve">Step 2 — Recommend Controls</w:t>
      </w:r>
    </w:p>
    <w:p>
      <w:pPr>
        <w:spacing w:after="160"/>
      </w:pPr>
      <w:r>
        <w:t xml:space="preserve">For the two assets you analysed, recommend at least one Administrative, one Technical, and one Physical control (per asset or shared across both — your choice), and say which specific threat from Step 1 each control addresses.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50"/>
      </w:tblGrid>
      <w:tr>
        <w:tc>
          <w:tcPr>
            <w:tcW w:type="dxa" w:w="2100"/>
            <w:shd w:fill="003054" w:color="auto" w:val="clear"/>
            <w:tcMar>
              <w:top w:type="dxa" w:w="80"/>
              <w:left w:type="dxa" w:w="100"/>
              <w:bottom w:type="dxa" w:w="80"/>
              <w:right w:type="dxa" w:w="100"/>
            </w:tcMar>
          </w:tcPr>
          <w:p>
            <w:r>
              <w:rPr>
                <w:b/>
                <w:bCs/>
                <w:i w:val="false"/>
                <w:iCs w:val="false"/>
                <w:color w:val="FFFFFF"/>
              </w:rPr>
              <w:t xml:space="preserve">Control type</w:t>
            </w:r>
          </w:p>
        </w:tc>
        <w:tc>
          <w:tcPr>
            <w:tcW w:type="dxa" w:w="3400"/>
            <w:shd w:fill="003054" w:color="auto" w:val="clear"/>
            <w:tcMar>
              <w:top w:type="dxa" w:w="80"/>
              <w:left w:type="dxa" w:w="100"/>
              <w:bottom w:type="dxa" w:w="80"/>
              <w:right w:type="dxa" w:w="100"/>
            </w:tcMar>
          </w:tcPr>
          <w:p>
            <w:r>
              <w:rPr>
                <w:b/>
                <w:bCs/>
                <w:i w:val="false"/>
                <w:iCs w:val="false"/>
                <w:color w:val="FFFFFF"/>
              </w:rPr>
              <w:t xml:space="preserve">Specific control</w:t>
            </w:r>
          </w:p>
        </w:tc>
        <w:tc>
          <w:tcPr>
            <w:tcW w:type="dxa" w:w="3850"/>
            <w:shd w:fill="003054" w:color="auto" w:val="clear"/>
            <w:tcMar>
              <w:top w:type="dxa" w:w="80"/>
              <w:left w:type="dxa" w:w="100"/>
              <w:bottom w:type="dxa" w:w="80"/>
              <w:right w:type="dxa" w:w="100"/>
            </w:tcMar>
          </w:tcPr>
          <w:p>
            <w:r>
              <w:rPr>
                <w:b/>
                <w:bCs/>
                <w:i w:val="false"/>
                <w:iCs w:val="false"/>
                <w:color w:val="FFFFFF"/>
              </w:rPr>
              <w:t xml:space="preserve">Which threat it addresses</w:t>
            </w:r>
          </w:p>
        </w:tc>
      </w:tr>
      <w:tr>
        <w:tc>
          <w:tcPr>
            <w:tcW w:type="dxa" w:w="2100"/>
            <w:shd w:fill="FFFFFF" w:color="auto" w:val="clear"/>
            <w:tcMar>
              <w:top w:type="dxa" w:w="80"/>
              <w:left w:type="dxa" w:w="100"/>
              <w:bottom w:type="dxa" w:w="80"/>
              <w:right w:type="dxa" w:w="100"/>
            </w:tcMar>
          </w:tcPr>
          <w:p>
            <w:r>
              <w:rPr>
                <w:b w:val="false"/>
                <w:bCs w:val="false"/>
                <w:i w:val="false"/>
                <w:iCs w:val="false"/>
                <w:color w:val="000000"/>
              </w:rPr>
              <w:t xml:space="preserve">Administrative</w:t>
            </w:r>
          </w:p>
        </w:tc>
        <w:tc>
          <w:tcPr>
            <w:tcW w:type="dxa" w:w="3400"/>
            <w:shd w:fill="FFFFFF" w:color="auto" w:val="clear"/>
            <w:tcMar>
              <w:top w:type="dxa" w:w="80"/>
              <w:left w:type="dxa" w:w="100"/>
              <w:bottom w:type="dxa" w:w="80"/>
              <w:right w:type="dxa" w:w="100"/>
            </w:tcMar>
          </w:tcPr>
          <w:p>
            <w:r>
              <w:rPr>
                <w:b w:val="false"/>
                <w:bCs w:val="false"/>
                <w:i w:val="false"/>
                <w:iCs w:val="false"/>
                <w:color w:val="000000"/>
              </w:rPr>
              <w:t xml:space="preserve"/>
            </w:r>
          </w:p>
        </w:tc>
        <w:tc>
          <w:tcPr>
            <w:tcW w:type="dxa" w:w="3850"/>
            <w:shd w:fill="FFFFFF" w:color="auto" w:val="clear"/>
            <w:tcMar>
              <w:top w:type="dxa" w:w="80"/>
              <w:left w:type="dxa" w:w="100"/>
              <w:bottom w:type="dxa" w:w="80"/>
              <w:right w:type="dxa" w:w="100"/>
            </w:tcMar>
          </w:tcPr>
          <w:p>
            <w:r>
              <w:rPr>
                <w:b w:val="false"/>
                <w:bCs w:val="false"/>
                <w:i w:val="false"/>
                <w:iCs w:val="false"/>
                <w:color w:val="000000"/>
              </w:rPr>
              <w:t xml:space="preserve"/>
            </w:r>
          </w:p>
        </w:tc>
      </w:tr>
      <w:tr>
        <w:tc>
          <w:tcPr>
            <w:tcW w:type="dxa" w:w="2100"/>
            <w:shd w:fill="F2F4F7" w:color="auto" w:val="clear"/>
            <w:tcMar>
              <w:top w:type="dxa" w:w="80"/>
              <w:left w:type="dxa" w:w="100"/>
              <w:bottom w:type="dxa" w:w="80"/>
              <w:right w:type="dxa" w:w="100"/>
            </w:tcMar>
          </w:tcPr>
          <w:p>
            <w:r>
              <w:rPr>
                <w:b w:val="false"/>
                <w:bCs w:val="false"/>
                <w:i w:val="false"/>
                <w:iCs w:val="false"/>
                <w:color w:val="000000"/>
              </w:rPr>
              <w:t xml:space="preserve">Technical</w:t>
            </w:r>
          </w:p>
        </w:tc>
        <w:tc>
          <w:tcPr>
            <w:tcW w:type="dxa" w:w="3400"/>
            <w:shd w:fill="F2F4F7" w:color="auto" w:val="clear"/>
            <w:tcMar>
              <w:top w:type="dxa" w:w="80"/>
              <w:left w:type="dxa" w:w="100"/>
              <w:bottom w:type="dxa" w:w="80"/>
              <w:right w:type="dxa" w:w="100"/>
            </w:tcMar>
          </w:tcPr>
          <w:p>
            <w:r>
              <w:rPr>
                <w:b w:val="false"/>
                <w:bCs w:val="false"/>
                <w:i w:val="false"/>
                <w:iCs w:val="false"/>
                <w:color w:val="000000"/>
              </w:rPr>
              <w:t xml:space="preserve"/>
            </w:r>
          </w:p>
        </w:tc>
        <w:tc>
          <w:tcPr>
            <w:tcW w:type="dxa" w:w="3850"/>
            <w:shd w:fill="F2F4F7" w:color="auto" w:val="clear"/>
            <w:tcMar>
              <w:top w:type="dxa" w:w="80"/>
              <w:left w:type="dxa" w:w="100"/>
              <w:bottom w:type="dxa" w:w="80"/>
              <w:right w:type="dxa" w:w="100"/>
            </w:tcMar>
          </w:tcPr>
          <w:p>
            <w:r>
              <w:rPr>
                <w:b w:val="false"/>
                <w:bCs w:val="false"/>
                <w:i w:val="false"/>
                <w:iCs w:val="false"/>
                <w:color w:val="000000"/>
              </w:rPr>
              <w:t xml:space="preserve"/>
            </w:r>
          </w:p>
        </w:tc>
      </w:tr>
      <w:tr>
        <w:tc>
          <w:tcPr>
            <w:tcW w:type="dxa" w:w="2100"/>
            <w:shd w:fill="FFFFFF" w:color="auto" w:val="clear"/>
            <w:tcMar>
              <w:top w:type="dxa" w:w="80"/>
              <w:left w:type="dxa" w:w="100"/>
              <w:bottom w:type="dxa" w:w="80"/>
              <w:right w:type="dxa" w:w="100"/>
            </w:tcMar>
          </w:tcPr>
          <w:p>
            <w:r>
              <w:rPr>
                <w:b w:val="false"/>
                <w:bCs w:val="false"/>
                <w:i w:val="false"/>
                <w:iCs w:val="false"/>
                <w:color w:val="000000"/>
              </w:rPr>
              <w:t xml:space="preserve">Physical</w:t>
            </w:r>
          </w:p>
        </w:tc>
        <w:tc>
          <w:tcPr>
            <w:tcW w:type="dxa" w:w="3400"/>
            <w:shd w:fill="FFFFFF" w:color="auto" w:val="clear"/>
            <w:tcMar>
              <w:top w:type="dxa" w:w="80"/>
              <w:left w:type="dxa" w:w="100"/>
              <w:bottom w:type="dxa" w:w="80"/>
              <w:right w:type="dxa" w:w="100"/>
            </w:tcMar>
          </w:tcPr>
          <w:p>
            <w:r>
              <w:rPr>
                <w:b w:val="false"/>
                <w:bCs w:val="false"/>
                <w:i w:val="false"/>
                <w:iCs w:val="false"/>
                <w:color w:val="000000"/>
              </w:rPr>
              <w:t xml:space="preserve"/>
            </w:r>
          </w:p>
        </w:tc>
        <w:tc>
          <w:tcPr>
            <w:tcW w:type="dxa" w:w="3850"/>
            <w:shd w:fill="FFFFFF" w:color="auto" w:val="clear"/>
            <w:tcMar>
              <w:top w:type="dxa" w:w="80"/>
              <w:left w:type="dxa" w:w="100"/>
              <w:bottom w:type="dxa" w:w="80"/>
              <w:right w:type="dxa" w:w="100"/>
            </w:tcMar>
          </w:tcPr>
          <w:p>
            <w:r>
              <w:rPr>
                <w:b w:val="false"/>
                <w:bCs w:val="false"/>
                <w:i w:val="false"/>
                <w:iCs w:val="false"/>
                <w:color w:val="000000"/>
              </w:rPr>
              <w:t xml:space="preserve"/>
            </w:r>
          </w:p>
        </w:tc>
      </w:tr>
    </w:tbl>
    <w:p>
      <w:pPr>
        <w:spacing w:after="200"/>
      </w:pPr>
    </w:p>
    <w:p>
      <w:pPr>
        <w:pStyle w:val="Heading2"/>
        <w:spacing w:after="100" w:before="260"/>
      </w:pPr>
      <w:r>
        <w:t xml:space="preserve">Step 3 — Justify the Layering</w:t>
      </w:r>
    </w:p>
    <w:p>
      <w:pPr>
        <w:spacing w:after="160"/>
      </w:pPr>
      <w:r>
        <w:rPr>
          <w:sz w:val="21"/>
          <w:szCs w:val="21"/>
        </w:rPr>
        <w:t xml:space="preserve">Answer in a short paragraph: why isn't your strongest single control (e.g. just the technical one) enough on its own? Reference at least one specific way a single-layer approach could still fail for this clinic.</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pn0ddlgxuqswm2pt4ntx" Type="http://schemas.openxmlformats.org/officeDocument/2006/relationships/hyperlink" Target="https://insights.integrity360.com/the-biggest-cyber-attacks-of-2025-and-what-they-mean-for-2026" TargetMode="External"/><Relationship Id="rIdoxupzga4gkdb2_zfmzrar" Type="http://schemas.openxmlformats.org/officeDocument/2006/relationships/hyperlink" Target="https://www.cisa.gov/news-events/cybersecurity-advisories/aa24-060b" TargetMode="External"/><Relationship Id="rId1pvja0uebxnfjjos0zwvk" Type="http://schemas.openxmlformats.org/officeDocument/2006/relationships/hyperlink" Target="https://www.csis.org/programs/strategic-technologies-program/significant-cyber-incidents" TargetMode="External"/><Relationship Id="rIdtfukblaizhehnvhmrgsgf" Type="http://schemas.openxmlformats.org/officeDocument/2006/relationships/hyperlink" Target="https://www.brightdefense.com/resources/recent-data-breaches/" TargetMode="External"/><Relationship Id="rIdtdbjv0nebxuox3addxix-" Type="http://schemas.openxmlformats.org/officeDocument/2006/relationships/hyperlink" Target="https://www.cisa.gov/news-events/alerts/2016/10/14/heightened-ddos-threat-posed-mirai-and-other-botnet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2026-07-22T07:50:12.123Z</dcterms:created>
  <dcterms:modified xsi:type="dcterms:W3CDTF">2026-07-22T07:50:12.132Z</dcterms:modified>
</cp:coreProperties>
</file>

<file path=docProps/custom.xml><?xml version="1.0" encoding="utf-8"?>
<Properties xmlns="http://schemas.openxmlformats.org/officeDocument/2006/custom-properties" xmlns:vt="http://schemas.openxmlformats.org/officeDocument/2006/docPropsVTypes"/>
</file>