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88B902D">
      <w:pPr>
        <w:pStyle w:val="style0"/>
        <w:spacing w:before="0" w:after="120"/>
        <w:jc w:val="center"/>
        <w:rPr/>
      </w:pPr>
      <w:r>
        <w:rPr>
          <w:rFonts w:ascii="Times New Roman" w:cs="Times New Roman" w:eastAsia="Times New Roman" w:hAnsi="Times New Roman"/>
          <w:b/>
          <w:bCs/>
          <w:sz w:val="28"/>
          <w:szCs w:val="28"/>
        </w:rPr>
        <w:t>CHAPTER FOUR</w:t>
      </w:r>
    </w:p>
    <w:p w14:paraId="A89BA302">
      <w:pPr>
        <w:pStyle w:val="style0"/>
        <w:spacing w:before="0" w:after="480"/>
        <w:jc w:val="center"/>
        <w:rPr/>
      </w:pPr>
      <w:r>
        <w:rPr>
          <w:rFonts w:ascii="Times New Roman" w:cs="Times New Roman" w:eastAsia="Times New Roman" w:hAnsi="Times New Roman"/>
          <w:b/>
          <w:bCs/>
          <w:sz w:val="28"/>
          <w:szCs w:val="28"/>
        </w:rPr>
        <w:t>SYSTEM IMPLEMENTATION AND RESULTS</w:t>
      </w:r>
    </w:p>
    <w:p w14:paraId="D0A243E6">
      <w:pPr>
        <w:pStyle w:val="style4098"/>
        <w:spacing w:before="360" w:after="180"/>
        <w:rPr/>
      </w:pPr>
      <w:r>
        <w:t>4.1 Introduction to Implementation</w:t>
      </w:r>
    </w:p>
    <w:p w14:paraId="128D1D07">
      <w:pPr>
        <w:pStyle w:val="style0"/>
        <w:spacing w:before="120" w:after="120" w:lineRule="auto" w:line="360"/>
        <w:ind w:firstLine="720"/>
        <w:jc w:val="both"/>
        <w:rPr/>
      </w:pPr>
      <w:r>
        <w:rPr>
          <w:rFonts w:ascii="Times New Roman" w:cs="Times New Roman" w:eastAsia="Times New Roman" w:hAnsi="Times New Roman"/>
          <w:sz w:val="24"/>
          <w:szCs w:val="24"/>
        </w:rPr>
        <w:t>This chapter presents the detailed implementation of the SendRun Intelligent Logistics Platform, a full-stack web application developed to address the systemic failures in Akure's informal waybill courier network. The platform targets the five major motor parks within Akure, Ondo State, and covers eleven destination cities across South-West and North-Central Nigeria. The implementation translates the design specifications outlined in the preceding chapter into a functional, deployed system capable of standardising parcel pricing through machine learning and providing real-time delivery visibility through WebSocket-based GPS tracking.</w:t>
      </w:r>
    </w:p>
    <w:p w14:paraId="9D92EDCE">
      <w:pPr>
        <w:pStyle w:val="style0"/>
        <w:spacing w:before="120" w:after="120" w:lineRule="auto" w:line="360"/>
        <w:ind w:firstLine="720"/>
        <w:jc w:val="both"/>
        <w:rPr/>
      </w:pPr>
      <w:r>
        <w:rPr>
          <w:rFonts w:ascii="Times New Roman" w:cs="Times New Roman" w:eastAsia="Times New Roman" w:hAnsi="Times New Roman"/>
          <w:sz w:val="24"/>
          <w:szCs w:val="24"/>
        </w:rPr>
        <w:t>The implementation proceeded in four concurrent workstreams: database schema design and migration, backend REST API and WebSocket development using FastAPI, machine learning pipeline construction and model training on real field-collected data, and frontend development using React 19 and TypeScript. All components were integrated and deployed on production infrastructure at zero recurring cost, making the system viable for academic demonstration and scalable for real-world adoption within Akure's transport ecosystem.</w:t>
      </w:r>
    </w:p>
    <w:p w14:paraId="B36A93D1">
      <w:pPr>
        <w:pStyle w:val="style0"/>
        <w:spacing w:before="120" w:after="120" w:lineRule="auto" w:line="360"/>
        <w:ind w:firstLine="720"/>
        <w:jc w:val="both"/>
        <w:rPr/>
      </w:pPr>
      <w:r>
        <w:rPr>
          <w:rFonts w:ascii="Times New Roman" w:cs="Times New Roman" w:eastAsia="Times New Roman" w:hAnsi="Times New Roman"/>
          <w:sz w:val="24"/>
          <w:szCs w:val="24"/>
        </w:rPr>
        <w:t>The chapter is organised to mirror the layered architecture of the system, beginning with the development environment and database layer, progressing through the backend and machine learning subsystems, and concluding with frontend implementation, deployment, and evaluation results.</w:t>
      </w:r>
    </w:p>
    <w:p w14:paraId="1CB499F9">
      <w:pPr>
        <w:pStyle w:val="style4098"/>
        <w:spacing w:before="360" w:after="180"/>
        <w:rPr/>
      </w:pPr>
      <w:r>
        <w:t>4.2 Development Environment and Tools</w:t>
      </w:r>
    </w:p>
    <w:p w14:paraId="3C730003">
      <w:pPr>
        <w:pStyle w:val="style0"/>
        <w:spacing w:before="120" w:after="120" w:lineRule="auto" w:line="360"/>
        <w:ind w:firstLine="720"/>
        <w:jc w:val="both"/>
        <w:rPr/>
      </w:pPr>
      <w:r>
        <w:rPr>
          <w:rFonts w:ascii="Times New Roman" w:cs="Times New Roman" w:eastAsia="Times New Roman" w:hAnsi="Times New Roman"/>
          <w:sz w:val="24"/>
          <w:szCs w:val="24"/>
        </w:rPr>
        <w:t>The development environment was configured on an Ubuntu 22.04 Linux system. Python 3.12 served as the primary backend language, chosen for its mature ecosystem of data science and web framework libraries. Node.js 20 was used for frontend tooling. The complete list of technologies and tools used across the project is presented in Table 4.1.</w:t>
      </w:r>
    </w:p>
    <w:p w14:paraId="4B9A21BB">
      <w:pPr>
        <w:pStyle w:val="style0"/>
        <w:spacing w:before="60" w:after="60"/>
        <w:rPr/>
      </w:pPr>
    </w:p>
    <w:p w14:paraId="A15795A5">
      <w:pPr>
        <w:pStyle w:val="style0"/>
        <w:spacing w:before="80" w:after="200"/>
        <w:jc w:val="center"/>
        <w:rPr/>
      </w:pPr>
      <w:r>
        <w:rPr>
          <w:rFonts w:ascii="Times New Roman" w:cs="Times New Roman" w:eastAsia="Times New Roman" w:hAnsi="Times New Roman"/>
          <w:b/>
          <w:bCs/>
          <w:i/>
          <w:iCs/>
          <w:sz w:val="22"/>
          <w:szCs w:val="22"/>
        </w:rPr>
        <w:t>Table 4.1: Technologies and Tools Used in the Implementation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Pr>
      <w:tblGrid>
        <w:gridCol w:w="100"/>
        <w:gridCol w:w="100"/>
        <w:gridCol w:w="100"/>
        <w:gridCol w:w="100"/>
      </w:tblGrid>
      <w:tr w14:paraId="C8F831A6">
        <w:trPr>
          <w:tblHeader/>
        </w:trPr>
        <w:tc>
          <w:tcPr>
            <w:tcW w:w="2300" w:type="dxa"/>
            <w:tcBorders/>
            <w:shd w:val="clear" w:color="auto" w:fill="d0d0d0"/>
            <w:tcMar>
              <w:top w:w="80" w:type="dxa"/>
              <w:left w:w="100" w:type="dxa"/>
              <w:bottom w:w="80" w:type="dxa"/>
              <w:right w:w="100" w:type="dxa"/>
            </w:tcMar>
          </w:tcPr>
          <w:p w14:paraId="A6976B75">
            <w:pPr>
              <w:pStyle w:val="style0"/>
              <w:spacing w:before="80" w:after="80"/>
              <w:jc w:val="left"/>
              <w:rPr/>
            </w:pPr>
            <w:r>
              <w:rPr>
                <w:rFonts w:ascii="Times New Roman" w:cs="Times New Roman" w:eastAsia="Times New Roman" w:hAnsi="Times New Roman"/>
                <w:b/>
                <w:bCs/>
                <w:sz w:val="20"/>
                <w:szCs w:val="20"/>
              </w:rPr>
              <w:t>Layer</w:t>
            </w:r>
          </w:p>
        </w:tc>
        <w:tc>
          <w:tcPr>
            <w:tcW w:w="2500" w:type="dxa"/>
            <w:tcBorders/>
            <w:shd w:val="clear" w:color="auto" w:fill="d0d0d0"/>
            <w:tcMar>
              <w:top w:w="80" w:type="dxa"/>
              <w:left w:w="100" w:type="dxa"/>
              <w:bottom w:w="80" w:type="dxa"/>
              <w:right w:w="100" w:type="dxa"/>
            </w:tcMar>
          </w:tcPr>
          <w:p w14:paraId="ABAC30E2">
            <w:pPr>
              <w:pStyle w:val="style0"/>
              <w:spacing w:before="80" w:after="80"/>
              <w:jc w:val="left"/>
              <w:rPr/>
            </w:pPr>
            <w:r>
              <w:rPr>
                <w:rFonts w:ascii="Times New Roman" w:cs="Times New Roman" w:eastAsia="Times New Roman" w:hAnsi="Times New Roman"/>
                <w:b/>
                <w:bCs/>
                <w:sz w:val="20"/>
                <w:szCs w:val="20"/>
              </w:rPr>
              <w:t>Technology / Tool</w:t>
            </w:r>
          </w:p>
        </w:tc>
        <w:tc>
          <w:tcPr>
            <w:tcW w:w="1400" w:type="dxa"/>
            <w:tcBorders/>
            <w:shd w:val="clear" w:color="auto" w:fill="d0d0d0"/>
            <w:tcMar>
              <w:top w:w="80" w:type="dxa"/>
              <w:left w:w="100" w:type="dxa"/>
              <w:bottom w:w="80" w:type="dxa"/>
              <w:right w:w="100" w:type="dxa"/>
            </w:tcMar>
          </w:tcPr>
          <w:p w14:paraId="5F68110B">
            <w:pPr>
              <w:pStyle w:val="style0"/>
              <w:spacing w:before="80" w:after="80"/>
              <w:jc w:val="left"/>
              <w:rPr/>
            </w:pPr>
            <w:r>
              <w:rPr>
                <w:rFonts w:ascii="Times New Roman" w:cs="Times New Roman" w:eastAsia="Times New Roman" w:hAnsi="Times New Roman"/>
                <w:b/>
                <w:bCs/>
                <w:sz w:val="20"/>
                <w:szCs w:val="20"/>
              </w:rPr>
              <w:t>Version</w:t>
            </w:r>
          </w:p>
        </w:tc>
        <w:tc>
          <w:tcPr>
            <w:tcW w:w="2800" w:type="dxa"/>
            <w:tcBorders/>
            <w:shd w:val="clear" w:color="auto" w:fill="d0d0d0"/>
            <w:tcMar>
              <w:top w:w="80" w:type="dxa"/>
              <w:left w:w="100" w:type="dxa"/>
              <w:bottom w:w="80" w:type="dxa"/>
              <w:right w:w="100" w:type="dxa"/>
            </w:tcMar>
          </w:tcPr>
          <w:p w14:paraId="DBA7C55F">
            <w:pPr>
              <w:pStyle w:val="style0"/>
              <w:spacing w:before="80" w:after="80"/>
              <w:jc w:val="left"/>
              <w:rPr/>
            </w:pPr>
            <w:r>
              <w:rPr>
                <w:rFonts w:ascii="Times New Roman" w:cs="Times New Roman" w:eastAsia="Times New Roman" w:hAnsi="Times New Roman"/>
                <w:b/>
                <w:bCs/>
                <w:sz w:val="20"/>
                <w:szCs w:val="20"/>
              </w:rPr>
              <w:t>Purpose</w:t>
            </w:r>
          </w:p>
        </w:tc>
      </w:tr>
      <w:tr w14:paraId="2F5482F9">
        <w:tblPrEx/>
        <w:trPr/>
        <w:tc>
          <w:tcPr>
            <w:tcW w:w="2300" w:type="dxa"/>
            <w:tcBorders/>
            <w:tcMar>
              <w:top w:w="80" w:type="dxa"/>
              <w:left w:w="100" w:type="dxa"/>
              <w:bottom w:w="80" w:type="dxa"/>
              <w:right w:w="100" w:type="dxa"/>
            </w:tcMar>
          </w:tcPr>
          <w:p w14:paraId="1150EB6A">
            <w:pPr>
              <w:pStyle w:val="style0"/>
              <w:spacing w:before="80" w:after="80"/>
              <w:jc w:val="left"/>
              <w:rPr/>
            </w:pPr>
            <w:r>
              <w:rPr>
                <w:rFonts w:ascii="Times New Roman" w:cs="Times New Roman" w:eastAsia="Times New Roman" w:hAnsi="Times New Roman"/>
                <w:b w:val="false"/>
                <w:bCs w:val="false"/>
                <w:sz w:val="20"/>
                <w:szCs w:val="20"/>
              </w:rPr>
              <w:t>Backend Framework</w:t>
            </w:r>
          </w:p>
        </w:tc>
        <w:tc>
          <w:tcPr>
            <w:tcW w:w="2500" w:type="dxa"/>
            <w:tcBorders/>
            <w:tcMar>
              <w:top w:w="80" w:type="dxa"/>
              <w:left w:w="100" w:type="dxa"/>
              <w:bottom w:w="80" w:type="dxa"/>
              <w:right w:w="100" w:type="dxa"/>
            </w:tcMar>
          </w:tcPr>
          <w:p w14:paraId="669E1507">
            <w:pPr>
              <w:pStyle w:val="style0"/>
              <w:spacing w:before="80" w:after="80"/>
              <w:jc w:val="left"/>
              <w:rPr/>
            </w:pPr>
            <w:r>
              <w:rPr>
                <w:rFonts w:ascii="Times New Roman" w:cs="Times New Roman" w:eastAsia="Times New Roman" w:hAnsi="Times New Roman"/>
                <w:b w:val="false"/>
                <w:bCs w:val="false"/>
                <w:sz w:val="20"/>
                <w:szCs w:val="20"/>
              </w:rPr>
              <w:t>FastAPI</w:t>
            </w:r>
          </w:p>
        </w:tc>
        <w:tc>
          <w:tcPr>
            <w:tcW w:w="1400" w:type="dxa"/>
            <w:tcBorders/>
            <w:tcMar>
              <w:top w:w="80" w:type="dxa"/>
              <w:left w:w="100" w:type="dxa"/>
              <w:bottom w:w="80" w:type="dxa"/>
              <w:right w:w="100" w:type="dxa"/>
            </w:tcMar>
          </w:tcPr>
          <w:p w14:paraId="5844B215">
            <w:pPr>
              <w:pStyle w:val="style0"/>
              <w:spacing w:before="80" w:after="80"/>
              <w:jc w:val="left"/>
              <w:rPr/>
            </w:pPr>
            <w:r>
              <w:rPr>
                <w:rFonts w:ascii="Times New Roman" w:cs="Times New Roman" w:eastAsia="Times New Roman" w:hAnsi="Times New Roman"/>
                <w:b w:val="false"/>
                <w:bCs w:val="false"/>
                <w:sz w:val="20"/>
                <w:szCs w:val="20"/>
              </w:rPr>
              <w:t>0.136.1</w:t>
            </w:r>
          </w:p>
        </w:tc>
        <w:tc>
          <w:tcPr>
            <w:tcW w:w="2800" w:type="dxa"/>
            <w:tcBorders/>
            <w:tcMar>
              <w:top w:w="80" w:type="dxa"/>
              <w:left w:w="100" w:type="dxa"/>
              <w:bottom w:w="80" w:type="dxa"/>
              <w:right w:w="100" w:type="dxa"/>
            </w:tcMar>
          </w:tcPr>
          <w:p w14:paraId="D22A8736">
            <w:pPr>
              <w:pStyle w:val="style0"/>
              <w:spacing w:before="80" w:after="80"/>
              <w:jc w:val="left"/>
              <w:rPr/>
            </w:pPr>
            <w:r>
              <w:rPr>
                <w:rFonts w:ascii="Times New Roman" w:cs="Times New Roman" w:eastAsia="Times New Roman" w:hAnsi="Times New Roman"/>
                <w:b w:val="false"/>
                <w:bCs w:val="false"/>
                <w:sz w:val="20"/>
                <w:szCs w:val="20"/>
              </w:rPr>
              <w:t>REST API server and WebSocket endpoints</w:t>
            </w:r>
          </w:p>
        </w:tc>
      </w:tr>
      <w:tr w14:paraId="28A6F22C">
        <w:tblPrEx/>
        <w:trPr/>
        <w:tc>
          <w:tcPr>
            <w:tcW w:w="2300" w:type="dxa"/>
            <w:tcBorders/>
            <w:tcMar>
              <w:top w:w="80" w:type="dxa"/>
              <w:left w:w="100" w:type="dxa"/>
              <w:bottom w:w="80" w:type="dxa"/>
              <w:right w:w="100" w:type="dxa"/>
            </w:tcMar>
          </w:tcPr>
          <w:p w14:paraId="2B0AEE04">
            <w:pPr>
              <w:pStyle w:val="style0"/>
              <w:spacing w:before="80" w:after="80"/>
              <w:jc w:val="left"/>
              <w:rPr/>
            </w:pPr>
            <w:r>
              <w:rPr>
                <w:rFonts w:ascii="Times New Roman" w:cs="Times New Roman" w:eastAsia="Times New Roman" w:hAnsi="Times New Roman"/>
                <w:b w:val="false"/>
                <w:bCs w:val="false"/>
                <w:sz w:val="20"/>
                <w:szCs w:val="20"/>
              </w:rPr>
              <w:t>Runtime</w:t>
            </w:r>
          </w:p>
        </w:tc>
        <w:tc>
          <w:tcPr>
            <w:tcW w:w="2500" w:type="dxa"/>
            <w:tcBorders/>
            <w:tcMar>
              <w:top w:w="80" w:type="dxa"/>
              <w:left w:w="100" w:type="dxa"/>
              <w:bottom w:w="80" w:type="dxa"/>
              <w:right w:w="100" w:type="dxa"/>
            </w:tcMar>
          </w:tcPr>
          <w:p w14:paraId="7908C67B">
            <w:pPr>
              <w:pStyle w:val="style0"/>
              <w:spacing w:before="80" w:after="80"/>
              <w:jc w:val="left"/>
              <w:rPr/>
            </w:pPr>
            <w:r>
              <w:rPr>
                <w:rFonts w:ascii="Times New Roman" w:cs="Times New Roman" w:eastAsia="Times New Roman" w:hAnsi="Times New Roman"/>
                <w:b w:val="false"/>
                <w:bCs w:val="false"/>
                <w:sz w:val="20"/>
                <w:szCs w:val="20"/>
              </w:rPr>
              <w:t>Python</w:t>
            </w:r>
          </w:p>
        </w:tc>
        <w:tc>
          <w:tcPr>
            <w:tcW w:w="1400" w:type="dxa"/>
            <w:tcBorders/>
            <w:tcMar>
              <w:top w:w="80" w:type="dxa"/>
              <w:left w:w="100" w:type="dxa"/>
              <w:bottom w:w="80" w:type="dxa"/>
              <w:right w:w="100" w:type="dxa"/>
            </w:tcMar>
          </w:tcPr>
          <w:p w14:paraId="F7055F00">
            <w:pPr>
              <w:pStyle w:val="style0"/>
              <w:spacing w:before="80" w:after="80"/>
              <w:jc w:val="left"/>
              <w:rPr/>
            </w:pPr>
            <w:r>
              <w:rPr>
                <w:rFonts w:ascii="Times New Roman" w:cs="Times New Roman" w:eastAsia="Times New Roman" w:hAnsi="Times New Roman"/>
                <w:b w:val="false"/>
                <w:bCs w:val="false"/>
                <w:sz w:val="20"/>
                <w:szCs w:val="20"/>
              </w:rPr>
              <w:t>3.12</w:t>
            </w:r>
          </w:p>
        </w:tc>
        <w:tc>
          <w:tcPr>
            <w:tcW w:w="2800" w:type="dxa"/>
            <w:tcBorders/>
            <w:tcMar>
              <w:top w:w="80" w:type="dxa"/>
              <w:left w:w="100" w:type="dxa"/>
              <w:bottom w:w="80" w:type="dxa"/>
              <w:right w:w="100" w:type="dxa"/>
            </w:tcMar>
          </w:tcPr>
          <w:p w14:paraId="8518457F">
            <w:pPr>
              <w:pStyle w:val="style0"/>
              <w:spacing w:before="80" w:after="80"/>
              <w:jc w:val="left"/>
              <w:rPr/>
            </w:pPr>
            <w:r>
              <w:rPr>
                <w:rFonts w:ascii="Times New Roman" w:cs="Times New Roman" w:eastAsia="Times New Roman" w:hAnsi="Times New Roman"/>
                <w:b w:val="false"/>
                <w:bCs w:val="false"/>
                <w:sz w:val="20"/>
                <w:szCs w:val="20"/>
              </w:rPr>
              <w:t>Primary backend language</w:t>
            </w:r>
          </w:p>
        </w:tc>
      </w:tr>
      <w:tr w14:paraId="AC0621B9">
        <w:tblPrEx/>
        <w:trPr/>
        <w:tc>
          <w:tcPr>
            <w:tcW w:w="2300" w:type="dxa"/>
            <w:tcBorders/>
            <w:tcMar>
              <w:top w:w="80" w:type="dxa"/>
              <w:left w:w="100" w:type="dxa"/>
              <w:bottom w:w="80" w:type="dxa"/>
              <w:right w:w="100" w:type="dxa"/>
            </w:tcMar>
          </w:tcPr>
          <w:p w14:paraId="CC179281">
            <w:pPr>
              <w:pStyle w:val="style0"/>
              <w:spacing w:before="80" w:after="80"/>
              <w:jc w:val="left"/>
              <w:rPr/>
            </w:pPr>
            <w:r>
              <w:rPr>
                <w:rFonts w:ascii="Times New Roman" w:cs="Times New Roman" w:eastAsia="Times New Roman" w:hAnsi="Times New Roman"/>
                <w:b w:val="false"/>
                <w:bCs w:val="false"/>
                <w:sz w:val="20"/>
                <w:szCs w:val="20"/>
              </w:rPr>
              <w:t>ORM</w:t>
            </w:r>
          </w:p>
        </w:tc>
        <w:tc>
          <w:tcPr>
            <w:tcW w:w="2500" w:type="dxa"/>
            <w:tcBorders/>
            <w:tcMar>
              <w:top w:w="80" w:type="dxa"/>
              <w:left w:w="100" w:type="dxa"/>
              <w:bottom w:w="80" w:type="dxa"/>
              <w:right w:w="100" w:type="dxa"/>
            </w:tcMar>
          </w:tcPr>
          <w:p w14:paraId="547FBDF3">
            <w:pPr>
              <w:pStyle w:val="style0"/>
              <w:spacing w:before="80" w:after="80"/>
              <w:jc w:val="left"/>
              <w:rPr/>
            </w:pPr>
            <w:r>
              <w:rPr>
                <w:rFonts w:ascii="Times New Roman" w:cs="Times New Roman" w:eastAsia="Times New Roman" w:hAnsi="Times New Roman"/>
                <w:b w:val="false"/>
                <w:bCs w:val="false"/>
                <w:sz w:val="20"/>
                <w:szCs w:val="20"/>
              </w:rPr>
              <w:t>SQLAlchemy (async)</w:t>
            </w:r>
          </w:p>
        </w:tc>
        <w:tc>
          <w:tcPr>
            <w:tcW w:w="1400" w:type="dxa"/>
            <w:tcBorders/>
            <w:tcMar>
              <w:top w:w="80" w:type="dxa"/>
              <w:left w:w="100" w:type="dxa"/>
              <w:bottom w:w="80" w:type="dxa"/>
              <w:right w:w="100" w:type="dxa"/>
            </w:tcMar>
          </w:tcPr>
          <w:p w14:paraId="088004C0">
            <w:pPr>
              <w:pStyle w:val="style0"/>
              <w:spacing w:before="80" w:after="80"/>
              <w:jc w:val="left"/>
              <w:rPr/>
            </w:pPr>
            <w:r>
              <w:rPr>
                <w:rFonts w:ascii="Times New Roman" w:cs="Times New Roman" w:eastAsia="Times New Roman" w:hAnsi="Times New Roman"/>
                <w:b w:val="false"/>
                <w:bCs w:val="false"/>
                <w:sz w:val="20"/>
                <w:szCs w:val="20"/>
              </w:rPr>
              <w:t>2.x</w:t>
            </w:r>
          </w:p>
        </w:tc>
        <w:tc>
          <w:tcPr>
            <w:tcW w:w="2800" w:type="dxa"/>
            <w:tcBorders/>
            <w:tcMar>
              <w:top w:w="80" w:type="dxa"/>
              <w:left w:w="100" w:type="dxa"/>
              <w:bottom w:w="80" w:type="dxa"/>
              <w:right w:w="100" w:type="dxa"/>
            </w:tcMar>
          </w:tcPr>
          <w:p w14:paraId="1EE98A19">
            <w:pPr>
              <w:pStyle w:val="style0"/>
              <w:spacing w:before="80" w:after="80"/>
              <w:jc w:val="left"/>
              <w:rPr/>
            </w:pPr>
            <w:r>
              <w:rPr>
                <w:rFonts w:ascii="Times New Roman" w:cs="Times New Roman" w:eastAsia="Times New Roman" w:hAnsi="Times New Roman"/>
                <w:b w:val="false"/>
                <w:bCs w:val="false"/>
                <w:sz w:val="20"/>
                <w:szCs w:val="20"/>
              </w:rPr>
              <w:t>Database models and async queries</w:t>
            </w:r>
          </w:p>
        </w:tc>
      </w:tr>
      <w:tr w14:paraId="B75244B5">
        <w:tblPrEx/>
        <w:trPr/>
        <w:tc>
          <w:tcPr>
            <w:tcW w:w="2300" w:type="dxa"/>
            <w:tcBorders/>
            <w:tcMar>
              <w:top w:w="80" w:type="dxa"/>
              <w:left w:w="100" w:type="dxa"/>
              <w:bottom w:w="80" w:type="dxa"/>
              <w:right w:w="100" w:type="dxa"/>
            </w:tcMar>
          </w:tcPr>
          <w:p w14:paraId="C0251A02">
            <w:pPr>
              <w:pStyle w:val="style0"/>
              <w:spacing w:before="80" w:after="80"/>
              <w:jc w:val="left"/>
              <w:rPr/>
            </w:pPr>
            <w:r>
              <w:rPr>
                <w:rFonts w:ascii="Times New Roman" w:cs="Times New Roman" w:eastAsia="Times New Roman" w:hAnsi="Times New Roman"/>
                <w:b w:val="false"/>
                <w:bCs w:val="false"/>
                <w:sz w:val="20"/>
                <w:szCs w:val="20"/>
              </w:rPr>
              <w:t>Migrations</w:t>
            </w:r>
          </w:p>
        </w:tc>
        <w:tc>
          <w:tcPr>
            <w:tcW w:w="2500" w:type="dxa"/>
            <w:tcBorders/>
            <w:tcMar>
              <w:top w:w="80" w:type="dxa"/>
              <w:left w:w="100" w:type="dxa"/>
              <w:bottom w:w="80" w:type="dxa"/>
              <w:right w:w="100" w:type="dxa"/>
            </w:tcMar>
          </w:tcPr>
          <w:p w14:paraId="F3778BC0">
            <w:pPr>
              <w:pStyle w:val="style0"/>
              <w:spacing w:before="80" w:after="80"/>
              <w:jc w:val="left"/>
              <w:rPr/>
            </w:pPr>
            <w:r>
              <w:rPr>
                <w:rFonts w:ascii="Times New Roman" w:cs="Times New Roman" w:eastAsia="Times New Roman" w:hAnsi="Times New Roman"/>
                <w:b w:val="false"/>
                <w:bCs w:val="false"/>
                <w:sz w:val="20"/>
                <w:szCs w:val="20"/>
              </w:rPr>
              <w:t>Alembic</w:t>
            </w:r>
          </w:p>
        </w:tc>
        <w:tc>
          <w:tcPr>
            <w:tcW w:w="1400" w:type="dxa"/>
            <w:tcBorders/>
            <w:tcMar>
              <w:top w:w="80" w:type="dxa"/>
              <w:left w:w="100" w:type="dxa"/>
              <w:bottom w:w="80" w:type="dxa"/>
              <w:right w:w="100" w:type="dxa"/>
            </w:tcMar>
          </w:tcPr>
          <w:p w14:paraId="F8190BAA">
            <w:pPr>
              <w:pStyle w:val="style0"/>
              <w:spacing w:before="80" w:after="80"/>
              <w:jc w:val="left"/>
              <w:rPr/>
            </w:pPr>
            <w:r>
              <w:rPr>
                <w:rFonts w:ascii="Times New Roman" w:cs="Times New Roman" w:eastAsia="Times New Roman" w:hAnsi="Times New Roman"/>
                <w:b w:val="false"/>
                <w:bCs w:val="false"/>
                <w:sz w:val="20"/>
                <w:szCs w:val="20"/>
              </w:rPr>
              <w:t>1.18.4</w:t>
            </w:r>
          </w:p>
        </w:tc>
        <w:tc>
          <w:tcPr>
            <w:tcW w:w="2800" w:type="dxa"/>
            <w:tcBorders/>
            <w:tcMar>
              <w:top w:w="80" w:type="dxa"/>
              <w:left w:w="100" w:type="dxa"/>
              <w:bottom w:w="80" w:type="dxa"/>
              <w:right w:w="100" w:type="dxa"/>
            </w:tcMar>
          </w:tcPr>
          <w:p w14:paraId="B9D7D022">
            <w:pPr>
              <w:pStyle w:val="style0"/>
              <w:spacing w:before="80" w:after="80"/>
              <w:jc w:val="left"/>
              <w:rPr/>
            </w:pPr>
            <w:r>
              <w:rPr>
                <w:rFonts w:ascii="Times New Roman" w:cs="Times New Roman" w:eastAsia="Times New Roman" w:hAnsi="Times New Roman"/>
                <w:b w:val="false"/>
                <w:bCs w:val="false"/>
                <w:sz w:val="20"/>
                <w:szCs w:val="20"/>
              </w:rPr>
              <w:t>Database schema versioning</w:t>
            </w:r>
          </w:p>
        </w:tc>
      </w:tr>
      <w:tr w14:paraId="BD8DEAC2">
        <w:tblPrEx/>
        <w:trPr/>
        <w:tc>
          <w:tcPr>
            <w:tcW w:w="2300" w:type="dxa"/>
            <w:tcBorders/>
            <w:tcMar>
              <w:top w:w="80" w:type="dxa"/>
              <w:left w:w="100" w:type="dxa"/>
              <w:bottom w:w="80" w:type="dxa"/>
              <w:right w:w="100" w:type="dxa"/>
            </w:tcMar>
          </w:tcPr>
          <w:p w14:paraId="68F08512">
            <w:pPr>
              <w:pStyle w:val="style0"/>
              <w:spacing w:before="80" w:after="80"/>
              <w:jc w:val="left"/>
              <w:rPr/>
            </w:pPr>
            <w:r>
              <w:rPr>
                <w:rFonts w:ascii="Times New Roman" w:cs="Times New Roman" w:eastAsia="Times New Roman" w:hAnsi="Times New Roman"/>
                <w:b w:val="false"/>
                <w:bCs w:val="false"/>
                <w:sz w:val="20"/>
                <w:szCs w:val="20"/>
              </w:rPr>
              <w:t>Authentication</w:t>
            </w:r>
          </w:p>
        </w:tc>
        <w:tc>
          <w:tcPr>
            <w:tcW w:w="2500" w:type="dxa"/>
            <w:tcBorders/>
            <w:tcMar>
              <w:top w:w="80" w:type="dxa"/>
              <w:left w:w="100" w:type="dxa"/>
              <w:bottom w:w="80" w:type="dxa"/>
              <w:right w:w="100" w:type="dxa"/>
            </w:tcMar>
          </w:tcPr>
          <w:p w14:paraId="C4891F49">
            <w:pPr>
              <w:pStyle w:val="style0"/>
              <w:spacing w:before="80" w:after="80"/>
              <w:jc w:val="left"/>
              <w:rPr/>
            </w:pPr>
            <w:r>
              <w:rPr>
                <w:rFonts w:ascii="Times New Roman" w:cs="Times New Roman" w:eastAsia="Times New Roman" w:hAnsi="Times New Roman"/>
                <w:b w:val="false"/>
                <w:bCs w:val="false"/>
                <w:sz w:val="20"/>
                <w:szCs w:val="20"/>
              </w:rPr>
              <w:t>fastapi-users</w:t>
            </w:r>
          </w:p>
        </w:tc>
        <w:tc>
          <w:tcPr>
            <w:tcW w:w="1400" w:type="dxa"/>
            <w:tcBorders/>
            <w:tcMar>
              <w:top w:w="80" w:type="dxa"/>
              <w:left w:w="100" w:type="dxa"/>
              <w:bottom w:w="80" w:type="dxa"/>
              <w:right w:w="100" w:type="dxa"/>
            </w:tcMar>
          </w:tcPr>
          <w:p w14:paraId="5A1C18A6">
            <w:pPr>
              <w:pStyle w:val="style0"/>
              <w:spacing w:before="80" w:after="80"/>
              <w:jc w:val="left"/>
              <w:rPr/>
            </w:pPr>
            <w:r>
              <w:rPr>
                <w:rFonts w:ascii="Times New Roman" w:cs="Times New Roman" w:eastAsia="Times New Roman" w:hAnsi="Times New Roman"/>
                <w:b w:val="false"/>
                <w:bCs w:val="false"/>
                <w:sz w:val="20"/>
                <w:szCs w:val="20"/>
              </w:rPr>
              <w:t>15.0.5</w:t>
            </w:r>
          </w:p>
        </w:tc>
        <w:tc>
          <w:tcPr>
            <w:tcW w:w="2800" w:type="dxa"/>
            <w:tcBorders/>
            <w:tcMar>
              <w:top w:w="80" w:type="dxa"/>
              <w:left w:w="100" w:type="dxa"/>
              <w:bottom w:w="80" w:type="dxa"/>
              <w:right w:w="100" w:type="dxa"/>
            </w:tcMar>
          </w:tcPr>
          <w:p w14:paraId="A1FB446C">
            <w:pPr>
              <w:pStyle w:val="style0"/>
              <w:spacing w:before="80" w:after="80"/>
              <w:jc w:val="left"/>
              <w:rPr/>
            </w:pPr>
            <w:r>
              <w:rPr>
                <w:rFonts w:ascii="Times New Roman" w:cs="Times New Roman" w:eastAsia="Times New Roman" w:hAnsi="Times New Roman"/>
                <w:b w:val="false"/>
                <w:bCs w:val="false"/>
                <w:sz w:val="20"/>
                <w:szCs w:val="20"/>
              </w:rPr>
              <w:t>JWT auth, user management, verification</w:t>
            </w:r>
          </w:p>
        </w:tc>
      </w:tr>
      <w:tr w14:paraId="948EC4EF">
        <w:tblPrEx/>
        <w:trPr/>
        <w:tc>
          <w:tcPr>
            <w:tcW w:w="2300" w:type="dxa"/>
            <w:tcBorders/>
            <w:tcMar>
              <w:top w:w="80" w:type="dxa"/>
              <w:left w:w="100" w:type="dxa"/>
              <w:bottom w:w="80" w:type="dxa"/>
              <w:right w:w="100" w:type="dxa"/>
            </w:tcMar>
          </w:tcPr>
          <w:p w14:paraId="BBB46ADC">
            <w:pPr>
              <w:pStyle w:val="style0"/>
              <w:spacing w:before="80" w:after="80"/>
              <w:jc w:val="left"/>
              <w:rPr/>
            </w:pPr>
            <w:r>
              <w:rPr>
                <w:rFonts w:ascii="Times New Roman" w:cs="Times New Roman" w:eastAsia="Times New Roman" w:hAnsi="Times New Roman"/>
                <w:b w:val="false"/>
                <w:bCs w:val="false"/>
                <w:sz w:val="20"/>
                <w:szCs w:val="20"/>
              </w:rPr>
              <w:t>Database</w:t>
            </w:r>
          </w:p>
        </w:tc>
        <w:tc>
          <w:tcPr>
            <w:tcW w:w="2500" w:type="dxa"/>
            <w:tcBorders/>
            <w:tcMar>
              <w:top w:w="80" w:type="dxa"/>
              <w:left w:w="100" w:type="dxa"/>
              <w:bottom w:w="80" w:type="dxa"/>
              <w:right w:w="100" w:type="dxa"/>
            </w:tcMar>
          </w:tcPr>
          <w:p w14:paraId="5D317A1C">
            <w:pPr>
              <w:pStyle w:val="style0"/>
              <w:spacing w:before="80" w:after="80"/>
              <w:jc w:val="left"/>
              <w:rPr/>
            </w:pPr>
            <w:r>
              <w:rPr>
                <w:rFonts w:ascii="Times New Roman" w:cs="Times New Roman" w:eastAsia="Times New Roman" w:hAnsi="Times New Roman"/>
                <w:b w:val="false"/>
                <w:bCs w:val="false"/>
                <w:sz w:val="20"/>
                <w:szCs w:val="20"/>
              </w:rPr>
              <w:t>PostgreSQL</w:t>
            </w:r>
          </w:p>
        </w:tc>
        <w:tc>
          <w:tcPr>
            <w:tcW w:w="1400" w:type="dxa"/>
            <w:tcBorders/>
            <w:tcMar>
              <w:top w:w="80" w:type="dxa"/>
              <w:left w:w="100" w:type="dxa"/>
              <w:bottom w:w="80" w:type="dxa"/>
              <w:right w:w="100" w:type="dxa"/>
            </w:tcMar>
          </w:tcPr>
          <w:p w14:paraId="ECB39E45">
            <w:pPr>
              <w:pStyle w:val="style0"/>
              <w:spacing w:before="80" w:after="80"/>
              <w:jc w:val="left"/>
              <w:rPr/>
            </w:pPr>
            <w:r>
              <w:rPr>
                <w:rFonts w:ascii="Times New Roman" w:cs="Times New Roman" w:eastAsia="Times New Roman" w:hAnsi="Times New Roman"/>
                <w:b w:val="false"/>
                <w:bCs w:val="false"/>
                <w:sz w:val="20"/>
                <w:szCs w:val="20"/>
              </w:rPr>
              <w:t>15</w:t>
            </w:r>
          </w:p>
        </w:tc>
        <w:tc>
          <w:tcPr>
            <w:tcW w:w="2800" w:type="dxa"/>
            <w:tcBorders/>
            <w:tcMar>
              <w:top w:w="80" w:type="dxa"/>
              <w:left w:w="100" w:type="dxa"/>
              <w:bottom w:w="80" w:type="dxa"/>
              <w:right w:w="100" w:type="dxa"/>
            </w:tcMar>
          </w:tcPr>
          <w:p w14:paraId="673C86EB">
            <w:pPr>
              <w:pStyle w:val="style0"/>
              <w:spacing w:before="80" w:after="80"/>
              <w:jc w:val="left"/>
              <w:rPr/>
            </w:pPr>
            <w:r>
              <w:rPr>
                <w:rFonts w:ascii="Times New Roman" w:cs="Times New Roman" w:eastAsia="Times New Roman" w:hAnsi="Times New Roman"/>
                <w:b w:val="false"/>
                <w:bCs w:val="false"/>
                <w:sz w:val="20"/>
                <w:szCs w:val="20"/>
              </w:rPr>
              <w:t>Primary relational data store (on Ubuntu server)</w:t>
            </w:r>
          </w:p>
        </w:tc>
      </w:tr>
      <w:tr w14:paraId="2CDBDB3B">
        <w:tblPrEx/>
        <w:trPr/>
        <w:tc>
          <w:tcPr>
            <w:tcW w:w="2300" w:type="dxa"/>
            <w:tcBorders/>
            <w:tcMar>
              <w:top w:w="80" w:type="dxa"/>
              <w:left w:w="100" w:type="dxa"/>
              <w:bottom w:w="80" w:type="dxa"/>
              <w:right w:w="100" w:type="dxa"/>
            </w:tcMar>
          </w:tcPr>
          <w:p w14:paraId="F6E4118E">
            <w:pPr>
              <w:pStyle w:val="style0"/>
              <w:spacing w:before="80" w:after="80"/>
              <w:jc w:val="left"/>
              <w:rPr/>
            </w:pPr>
            <w:r>
              <w:rPr>
                <w:rFonts w:ascii="Times New Roman" w:cs="Times New Roman" w:eastAsia="Times New Roman" w:hAnsi="Times New Roman"/>
                <w:b w:val="false"/>
                <w:bCs w:val="false"/>
                <w:sz w:val="20"/>
                <w:szCs w:val="20"/>
              </w:rPr>
              <w:t>Cache</w:t>
            </w:r>
          </w:p>
        </w:tc>
        <w:tc>
          <w:tcPr>
            <w:tcW w:w="2500" w:type="dxa"/>
            <w:tcBorders/>
            <w:tcMar>
              <w:top w:w="80" w:type="dxa"/>
              <w:left w:w="100" w:type="dxa"/>
              <w:bottom w:w="80" w:type="dxa"/>
              <w:right w:w="100" w:type="dxa"/>
            </w:tcMar>
          </w:tcPr>
          <w:p w14:paraId="CDE44BC9">
            <w:pPr>
              <w:pStyle w:val="style0"/>
              <w:spacing w:before="80" w:after="80"/>
              <w:jc w:val="left"/>
              <w:rPr/>
            </w:pPr>
            <w:r>
              <w:rPr>
                <w:rFonts w:ascii="Times New Roman" w:cs="Times New Roman" w:eastAsia="Times New Roman" w:hAnsi="Times New Roman"/>
                <w:b w:val="false"/>
                <w:bCs w:val="false"/>
                <w:sz w:val="20"/>
                <w:szCs w:val="20"/>
              </w:rPr>
              <w:t>Redis</w:t>
            </w:r>
          </w:p>
        </w:tc>
        <w:tc>
          <w:tcPr>
            <w:tcW w:w="1400" w:type="dxa"/>
            <w:tcBorders/>
            <w:tcMar>
              <w:top w:w="80" w:type="dxa"/>
              <w:left w:w="100" w:type="dxa"/>
              <w:bottom w:w="80" w:type="dxa"/>
              <w:right w:w="100" w:type="dxa"/>
            </w:tcMar>
          </w:tcPr>
          <w:p w14:paraId="055541DB">
            <w:pPr>
              <w:pStyle w:val="style0"/>
              <w:spacing w:before="80" w:after="80"/>
              <w:jc w:val="left"/>
              <w:rPr/>
            </w:pPr>
            <w:r>
              <w:rPr>
                <w:rFonts w:ascii="Times New Roman" w:cs="Times New Roman" w:eastAsia="Times New Roman" w:hAnsi="Times New Roman"/>
                <w:b w:val="false"/>
                <w:bCs w:val="false"/>
                <w:sz w:val="20"/>
                <w:szCs w:val="20"/>
              </w:rPr>
              <w:t>7</w:t>
            </w:r>
          </w:p>
        </w:tc>
        <w:tc>
          <w:tcPr>
            <w:tcW w:w="2800" w:type="dxa"/>
            <w:tcBorders/>
            <w:tcMar>
              <w:top w:w="80" w:type="dxa"/>
              <w:left w:w="100" w:type="dxa"/>
              <w:bottom w:w="80" w:type="dxa"/>
              <w:right w:w="100" w:type="dxa"/>
            </w:tcMar>
          </w:tcPr>
          <w:p w14:paraId="823FD6BC">
            <w:pPr>
              <w:pStyle w:val="style0"/>
              <w:spacing w:before="80" w:after="80"/>
              <w:jc w:val="left"/>
              <w:rPr/>
            </w:pPr>
            <w:r>
              <w:rPr>
                <w:rFonts w:ascii="Times New Roman" w:cs="Times New Roman" w:eastAsia="Times New Roman" w:hAnsi="Times New Roman"/>
                <w:b w:val="false"/>
                <w:bCs w:val="false"/>
                <w:sz w:val="20"/>
                <w:szCs w:val="20"/>
              </w:rPr>
              <w:t>OTP storage with TTL expiry</w:t>
            </w:r>
          </w:p>
        </w:tc>
      </w:tr>
      <w:tr w14:paraId="8DAA81DB">
        <w:tblPrEx/>
        <w:trPr/>
        <w:tc>
          <w:tcPr>
            <w:tcW w:w="2300" w:type="dxa"/>
            <w:tcBorders/>
            <w:tcMar>
              <w:top w:w="80" w:type="dxa"/>
              <w:left w:w="100" w:type="dxa"/>
              <w:bottom w:w="80" w:type="dxa"/>
              <w:right w:w="100" w:type="dxa"/>
            </w:tcMar>
          </w:tcPr>
          <w:p w14:paraId="4CD97F9B">
            <w:pPr>
              <w:pStyle w:val="style0"/>
              <w:spacing w:before="80" w:after="80"/>
              <w:jc w:val="left"/>
              <w:rPr/>
            </w:pPr>
            <w:r>
              <w:rPr>
                <w:rFonts w:ascii="Times New Roman" w:cs="Times New Roman" w:eastAsia="Times New Roman" w:hAnsi="Times New Roman"/>
                <w:b w:val="false"/>
                <w:bCs w:val="false"/>
                <w:sz w:val="20"/>
                <w:szCs w:val="20"/>
              </w:rPr>
              <w:t>Cache Hosting</w:t>
            </w:r>
          </w:p>
        </w:tc>
        <w:tc>
          <w:tcPr>
            <w:tcW w:w="2500" w:type="dxa"/>
            <w:tcBorders/>
            <w:tcMar>
              <w:top w:w="80" w:type="dxa"/>
              <w:left w:w="100" w:type="dxa"/>
              <w:bottom w:w="80" w:type="dxa"/>
              <w:right w:w="100" w:type="dxa"/>
            </w:tcMar>
          </w:tcPr>
          <w:p w14:paraId="3A477637">
            <w:pPr>
              <w:pStyle w:val="style0"/>
              <w:spacing w:before="80" w:after="80"/>
              <w:jc w:val="left"/>
              <w:rPr/>
            </w:pPr>
            <w:r>
              <w:rPr>
                <w:rFonts w:ascii="Times New Roman" w:cs="Times New Roman" w:eastAsia="Times New Roman" w:hAnsi="Times New Roman"/>
                <w:b w:val="false"/>
                <w:bCs w:val="false"/>
                <w:sz w:val="20"/>
                <w:szCs w:val="20"/>
              </w:rPr>
              <w:t>Redis Cloud</w:t>
            </w:r>
          </w:p>
        </w:tc>
        <w:tc>
          <w:tcPr>
            <w:tcW w:w="1400" w:type="dxa"/>
            <w:tcBorders/>
            <w:tcMar>
              <w:top w:w="80" w:type="dxa"/>
              <w:left w:w="100" w:type="dxa"/>
              <w:bottom w:w="80" w:type="dxa"/>
              <w:right w:w="100" w:type="dxa"/>
            </w:tcMar>
          </w:tcPr>
          <w:p w14:paraId="ECFAC046">
            <w:pPr>
              <w:pStyle w:val="style0"/>
              <w:spacing w:before="80" w:after="80"/>
              <w:jc w:val="left"/>
              <w:rPr/>
            </w:pPr>
            <w:r>
              <w:rPr>
                <w:rFonts w:ascii="Times New Roman" w:cs="Times New Roman" w:eastAsia="Times New Roman" w:hAnsi="Times New Roman"/>
                <w:b w:val="false"/>
                <w:bCs w:val="false"/>
                <w:sz w:val="20"/>
                <w:szCs w:val="20"/>
              </w:rPr>
              <w:t>Free 30MB</w:t>
            </w:r>
          </w:p>
        </w:tc>
        <w:tc>
          <w:tcPr>
            <w:tcW w:w="2800" w:type="dxa"/>
            <w:tcBorders/>
            <w:tcMar>
              <w:top w:w="80" w:type="dxa"/>
              <w:left w:w="100" w:type="dxa"/>
              <w:bottom w:w="80" w:type="dxa"/>
              <w:right w:w="100" w:type="dxa"/>
            </w:tcMar>
          </w:tcPr>
          <w:p w14:paraId="60192ABD">
            <w:pPr>
              <w:pStyle w:val="style0"/>
              <w:spacing w:before="80" w:after="80"/>
              <w:jc w:val="left"/>
              <w:rPr/>
            </w:pPr>
            <w:r>
              <w:rPr>
                <w:rFonts w:ascii="Times New Roman" w:cs="Times New Roman" w:eastAsia="Times New Roman" w:hAnsi="Times New Roman"/>
                <w:b w:val="false"/>
                <w:bCs w:val="false"/>
                <w:sz w:val="20"/>
                <w:szCs w:val="20"/>
              </w:rPr>
              <w:t>Managed Redis instance</w:t>
            </w:r>
          </w:p>
        </w:tc>
      </w:tr>
      <w:tr w14:paraId="E6C30CA5">
        <w:tblPrEx/>
        <w:trPr/>
        <w:tc>
          <w:tcPr>
            <w:tcW w:w="2300" w:type="dxa"/>
            <w:tcBorders/>
            <w:tcMar>
              <w:top w:w="80" w:type="dxa"/>
              <w:left w:w="100" w:type="dxa"/>
              <w:bottom w:w="80" w:type="dxa"/>
              <w:right w:w="100" w:type="dxa"/>
            </w:tcMar>
          </w:tcPr>
          <w:p w14:paraId="D8973C78">
            <w:pPr>
              <w:pStyle w:val="style0"/>
              <w:spacing w:before="80" w:after="80"/>
              <w:jc w:val="left"/>
              <w:rPr/>
            </w:pPr>
            <w:r>
              <w:rPr>
                <w:rFonts w:ascii="Times New Roman" w:cs="Times New Roman" w:eastAsia="Times New Roman" w:hAnsi="Times New Roman"/>
                <w:b w:val="false"/>
                <w:bCs w:val="false"/>
                <w:sz w:val="20"/>
                <w:szCs w:val="20"/>
              </w:rPr>
              <w:t>ML Model</w:t>
            </w:r>
          </w:p>
        </w:tc>
        <w:tc>
          <w:tcPr>
            <w:tcW w:w="2500" w:type="dxa"/>
            <w:tcBorders/>
            <w:tcMar>
              <w:top w:w="80" w:type="dxa"/>
              <w:left w:w="100" w:type="dxa"/>
              <w:bottom w:w="80" w:type="dxa"/>
              <w:right w:w="100" w:type="dxa"/>
            </w:tcMar>
          </w:tcPr>
          <w:p w14:paraId="CD5610CC">
            <w:pPr>
              <w:pStyle w:val="style0"/>
              <w:spacing w:before="80" w:after="80"/>
              <w:jc w:val="left"/>
              <w:rPr/>
            </w:pPr>
            <w:r>
              <w:rPr>
                <w:rFonts w:ascii="Times New Roman" w:cs="Times New Roman" w:eastAsia="Times New Roman" w:hAnsi="Times New Roman"/>
                <w:b w:val="false"/>
                <w:bCs w:val="false"/>
                <w:sz w:val="20"/>
                <w:szCs w:val="20"/>
              </w:rPr>
              <w:t>XGBoost</w:t>
            </w:r>
          </w:p>
        </w:tc>
        <w:tc>
          <w:tcPr>
            <w:tcW w:w="1400" w:type="dxa"/>
            <w:tcBorders/>
            <w:tcMar>
              <w:top w:w="80" w:type="dxa"/>
              <w:left w:w="100" w:type="dxa"/>
              <w:bottom w:w="80" w:type="dxa"/>
              <w:right w:w="100" w:type="dxa"/>
            </w:tcMar>
          </w:tcPr>
          <w:p w14:paraId="1C9F280B">
            <w:pPr>
              <w:pStyle w:val="style0"/>
              <w:spacing w:before="80" w:after="80"/>
              <w:jc w:val="left"/>
              <w:rPr/>
            </w:pPr>
            <w:r>
              <w:rPr>
                <w:rFonts w:ascii="Times New Roman" w:cs="Times New Roman" w:eastAsia="Times New Roman" w:hAnsi="Times New Roman"/>
                <w:b w:val="false"/>
                <w:bCs w:val="false"/>
                <w:sz w:val="20"/>
                <w:szCs w:val="20"/>
              </w:rPr>
              <w:t>Latest</w:t>
            </w:r>
          </w:p>
        </w:tc>
        <w:tc>
          <w:tcPr>
            <w:tcW w:w="2800" w:type="dxa"/>
            <w:tcBorders/>
            <w:tcMar>
              <w:top w:w="80" w:type="dxa"/>
              <w:left w:w="100" w:type="dxa"/>
              <w:bottom w:w="80" w:type="dxa"/>
              <w:right w:w="100" w:type="dxa"/>
            </w:tcMar>
          </w:tcPr>
          <w:p w14:paraId="99D04BC4">
            <w:pPr>
              <w:pStyle w:val="style0"/>
              <w:spacing w:before="80" w:after="80"/>
              <w:jc w:val="left"/>
              <w:rPr/>
            </w:pPr>
            <w:r>
              <w:rPr>
                <w:rFonts w:ascii="Times New Roman" w:cs="Times New Roman" w:eastAsia="Times New Roman" w:hAnsi="Times New Roman"/>
                <w:b w:val="false"/>
                <w:bCs w:val="false"/>
                <w:sz w:val="20"/>
                <w:szCs w:val="20"/>
              </w:rPr>
              <w:t>Gradient boosted pricing model</w:t>
            </w:r>
          </w:p>
        </w:tc>
      </w:tr>
      <w:tr w14:paraId="49D3725B">
        <w:tblPrEx/>
        <w:trPr/>
        <w:tc>
          <w:tcPr>
            <w:tcW w:w="2300" w:type="dxa"/>
            <w:tcBorders/>
            <w:tcMar>
              <w:top w:w="80" w:type="dxa"/>
              <w:left w:w="100" w:type="dxa"/>
              <w:bottom w:w="80" w:type="dxa"/>
              <w:right w:w="100" w:type="dxa"/>
            </w:tcMar>
          </w:tcPr>
          <w:p w14:paraId="46366B91">
            <w:pPr>
              <w:pStyle w:val="style0"/>
              <w:spacing w:before="80" w:after="80"/>
              <w:jc w:val="left"/>
              <w:rPr/>
            </w:pPr>
            <w:r>
              <w:rPr>
                <w:rFonts w:ascii="Times New Roman" w:cs="Times New Roman" w:eastAsia="Times New Roman" w:hAnsi="Times New Roman"/>
                <w:b w:val="false"/>
                <w:bCs w:val="false"/>
                <w:sz w:val="20"/>
                <w:szCs w:val="20"/>
              </w:rPr>
              <w:t>ML Pipeline</w:t>
            </w:r>
          </w:p>
        </w:tc>
        <w:tc>
          <w:tcPr>
            <w:tcW w:w="2500" w:type="dxa"/>
            <w:tcBorders/>
            <w:tcMar>
              <w:top w:w="80" w:type="dxa"/>
              <w:left w:w="100" w:type="dxa"/>
              <w:bottom w:w="80" w:type="dxa"/>
              <w:right w:w="100" w:type="dxa"/>
            </w:tcMar>
          </w:tcPr>
          <w:p w14:paraId="C7EF6332">
            <w:pPr>
              <w:pStyle w:val="style0"/>
              <w:spacing w:before="80" w:after="80"/>
              <w:jc w:val="left"/>
              <w:rPr/>
            </w:pPr>
            <w:r>
              <w:rPr>
                <w:rFonts w:ascii="Times New Roman" w:cs="Times New Roman" w:eastAsia="Times New Roman" w:hAnsi="Times New Roman"/>
                <w:b w:val="false"/>
                <w:bCs w:val="false"/>
                <w:sz w:val="20"/>
                <w:szCs w:val="20"/>
              </w:rPr>
              <w:t>Scikit-learn</w:t>
            </w:r>
          </w:p>
        </w:tc>
        <w:tc>
          <w:tcPr>
            <w:tcW w:w="1400" w:type="dxa"/>
            <w:tcBorders/>
            <w:tcMar>
              <w:top w:w="80" w:type="dxa"/>
              <w:left w:w="100" w:type="dxa"/>
              <w:bottom w:w="80" w:type="dxa"/>
              <w:right w:w="100" w:type="dxa"/>
            </w:tcMar>
          </w:tcPr>
          <w:p w14:paraId="9FE0E951">
            <w:pPr>
              <w:pStyle w:val="style0"/>
              <w:spacing w:before="80" w:after="80"/>
              <w:jc w:val="left"/>
              <w:rPr/>
            </w:pPr>
            <w:r>
              <w:rPr>
                <w:rFonts w:ascii="Times New Roman" w:cs="Times New Roman" w:eastAsia="Times New Roman" w:hAnsi="Times New Roman"/>
                <w:b w:val="false"/>
                <w:bCs w:val="false"/>
                <w:sz w:val="20"/>
                <w:szCs w:val="20"/>
              </w:rPr>
              <w:t>Latest</w:t>
            </w:r>
          </w:p>
        </w:tc>
        <w:tc>
          <w:tcPr>
            <w:tcW w:w="2800" w:type="dxa"/>
            <w:tcBorders/>
            <w:tcMar>
              <w:top w:w="80" w:type="dxa"/>
              <w:left w:w="100" w:type="dxa"/>
              <w:bottom w:w="80" w:type="dxa"/>
              <w:right w:w="100" w:type="dxa"/>
            </w:tcMar>
          </w:tcPr>
          <w:p w14:paraId="B65DF527">
            <w:pPr>
              <w:pStyle w:val="style0"/>
              <w:spacing w:before="80" w:after="80"/>
              <w:jc w:val="left"/>
              <w:rPr/>
            </w:pPr>
            <w:r>
              <w:rPr>
                <w:rFonts w:ascii="Times New Roman" w:cs="Times New Roman" w:eastAsia="Times New Roman" w:hAnsi="Times New Roman"/>
                <w:b w:val="false"/>
                <w:bCs w:val="false"/>
                <w:sz w:val="20"/>
                <w:szCs w:val="20"/>
              </w:rPr>
              <w:t>Preprocessing pipeline with StandardScaler</w:t>
            </w:r>
          </w:p>
        </w:tc>
      </w:tr>
      <w:tr w14:paraId="845D757E">
        <w:tblPrEx/>
        <w:trPr/>
        <w:tc>
          <w:tcPr>
            <w:tcW w:w="2300" w:type="dxa"/>
            <w:tcBorders/>
            <w:tcMar>
              <w:top w:w="80" w:type="dxa"/>
              <w:left w:w="100" w:type="dxa"/>
              <w:bottom w:w="80" w:type="dxa"/>
              <w:right w:w="100" w:type="dxa"/>
            </w:tcMar>
          </w:tcPr>
          <w:p w14:paraId="0A2694E2">
            <w:pPr>
              <w:pStyle w:val="style0"/>
              <w:spacing w:before="80" w:after="80"/>
              <w:jc w:val="left"/>
              <w:rPr/>
            </w:pPr>
            <w:r>
              <w:rPr>
                <w:rFonts w:ascii="Times New Roman" w:cs="Times New Roman" w:eastAsia="Times New Roman" w:hAnsi="Times New Roman"/>
                <w:b w:val="false"/>
                <w:bCs w:val="false"/>
                <w:sz w:val="20"/>
                <w:szCs w:val="20"/>
              </w:rPr>
              <w:t>Data Processing</w:t>
            </w:r>
          </w:p>
        </w:tc>
        <w:tc>
          <w:tcPr>
            <w:tcW w:w="2500" w:type="dxa"/>
            <w:tcBorders/>
            <w:tcMar>
              <w:top w:w="80" w:type="dxa"/>
              <w:left w:w="100" w:type="dxa"/>
              <w:bottom w:w="80" w:type="dxa"/>
              <w:right w:w="100" w:type="dxa"/>
            </w:tcMar>
          </w:tcPr>
          <w:p w14:paraId="7C69F63D">
            <w:pPr>
              <w:pStyle w:val="style0"/>
              <w:spacing w:before="80" w:after="80"/>
              <w:jc w:val="left"/>
              <w:rPr/>
            </w:pPr>
            <w:r>
              <w:rPr>
                <w:rFonts w:ascii="Times New Roman" w:cs="Times New Roman" w:eastAsia="Times New Roman" w:hAnsi="Times New Roman"/>
                <w:b w:val="false"/>
                <w:bCs w:val="false"/>
                <w:sz w:val="20"/>
                <w:szCs w:val="20"/>
              </w:rPr>
              <w:t>Pandas</w:t>
            </w:r>
          </w:p>
        </w:tc>
        <w:tc>
          <w:tcPr>
            <w:tcW w:w="1400" w:type="dxa"/>
            <w:tcBorders/>
            <w:tcMar>
              <w:top w:w="80" w:type="dxa"/>
              <w:left w:w="100" w:type="dxa"/>
              <w:bottom w:w="80" w:type="dxa"/>
              <w:right w:w="100" w:type="dxa"/>
            </w:tcMar>
          </w:tcPr>
          <w:p w14:paraId="1CD8ACEE">
            <w:pPr>
              <w:pStyle w:val="style0"/>
              <w:spacing w:before="80" w:after="80"/>
              <w:jc w:val="left"/>
              <w:rPr/>
            </w:pPr>
            <w:r>
              <w:rPr>
                <w:rFonts w:ascii="Times New Roman" w:cs="Times New Roman" w:eastAsia="Times New Roman" w:hAnsi="Times New Roman"/>
                <w:b w:val="false"/>
                <w:bCs w:val="false"/>
                <w:sz w:val="20"/>
                <w:szCs w:val="20"/>
              </w:rPr>
              <w:t>2.x</w:t>
            </w:r>
          </w:p>
        </w:tc>
        <w:tc>
          <w:tcPr>
            <w:tcW w:w="2800" w:type="dxa"/>
            <w:tcBorders/>
            <w:tcMar>
              <w:top w:w="80" w:type="dxa"/>
              <w:left w:w="100" w:type="dxa"/>
              <w:bottom w:w="80" w:type="dxa"/>
              <w:right w:w="100" w:type="dxa"/>
            </w:tcMar>
          </w:tcPr>
          <w:p w14:paraId="8DB5F54C">
            <w:pPr>
              <w:pStyle w:val="style0"/>
              <w:spacing w:before="80" w:after="80"/>
              <w:jc w:val="left"/>
              <w:rPr/>
            </w:pPr>
            <w:r>
              <w:rPr>
                <w:rFonts w:ascii="Times New Roman" w:cs="Times New Roman" w:eastAsia="Times New Roman" w:hAnsi="Times New Roman"/>
                <w:b w:val="false"/>
                <w:bCs w:val="false"/>
                <w:sz w:val="20"/>
                <w:szCs w:val="20"/>
              </w:rPr>
              <w:t>Feature engineering and data cleaning</w:t>
            </w:r>
          </w:p>
        </w:tc>
      </w:tr>
      <w:tr w14:paraId="326175EE">
        <w:tblPrEx/>
        <w:trPr/>
        <w:tc>
          <w:tcPr>
            <w:tcW w:w="2300" w:type="dxa"/>
            <w:tcBorders/>
            <w:tcMar>
              <w:top w:w="80" w:type="dxa"/>
              <w:left w:w="100" w:type="dxa"/>
              <w:bottom w:w="80" w:type="dxa"/>
              <w:right w:w="100" w:type="dxa"/>
            </w:tcMar>
          </w:tcPr>
          <w:p w14:paraId="0F405767">
            <w:pPr>
              <w:pStyle w:val="style0"/>
              <w:spacing w:before="80" w:after="80"/>
              <w:jc w:val="left"/>
              <w:rPr/>
            </w:pPr>
            <w:r>
              <w:rPr>
                <w:rFonts w:ascii="Times New Roman" w:cs="Times New Roman" w:eastAsia="Times New Roman" w:hAnsi="Times New Roman"/>
                <w:b w:val="false"/>
                <w:bCs w:val="false"/>
                <w:sz w:val="20"/>
                <w:szCs w:val="20"/>
              </w:rPr>
              <w:t>Model Serialisation</w:t>
            </w:r>
          </w:p>
        </w:tc>
        <w:tc>
          <w:tcPr>
            <w:tcW w:w="2500" w:type="dxa"/>
            <w:tcBorders/>
            <w:tcMar>
              <w:top w:w="80" w:type="dxa"/>
              <w:left w:w="100" w:type="dxa"/>
              <w:bottom w:w="80" w:type="dxa"/>
              <w:right w:w="100" w:type="dxa"/>
            </w:tcMar>
          </w:tcPr>
          <w:p w14:paraId="4E933B53">
            <w:pPr>
              <w:pStyle w:val="style0"/>
              <w:spacing w:before="80" w:after="80"/>
              <w:jc w:val="left"/>
              <w:rPr/>
            </w:pPr>
            <w:r>
              <w:rPr>
                <w:rFonts w:ascii="Times New Roman" w:cs="Times New Roman" w:eastAsia="Times New Roman" w:hAnsi="Times New Roman"/>
                <w:b w:val="false"/>
                <w:bCs w:val="false"/>
                <w:sz w:val="20"/>
                <w:szCs w:val="20"/>
              </w:rPr>
              <w:t>Joblib</w:t>
            </w:r>
          </w:p>
        </w:tc>
        <w:tc>
          <w:tcPr>
            <w:tcW w:w="1400" w:type="dxa"/>
            <w:tcBorders/>
            <w:tcMar>
              <w:top w:w="80" w:type="dxa"/>
              <w:left w:w="100" w:type="dxa"/>
              <w:bottom w:w="80" w:type="dxa"/>
              <w:right w:w="100" w:type="dxa"/>
            </w:tcMar>
          </w:tcPr>
          <w:p w14:paraId="B8B9272C">
            <w:pPr>
              <w:pStyle w:val="style0"/>
              <w:spacing w:before="80" w:after="80"/>
              <w:jc w:val="left"/>
              <w:rPr/>
            </w:pPr>
            <w:r>
              <w:rPr>
                <w:rFonts w:ascii="Times New Roman" w:cs="Times New Roman" w:eastAsia="Times New Roman" w:hAnsi="Times New Roman"/>
                <w:b w:val="false"/>
                <w:bCs w:val="false"/>
                <w:sz w:val="20"/>
                <w:szCs w:val="20"/>
              </w:rPr>
              <w:t>Latest</w:t>
            </w:r>
          </w:p>
        </w:tc>
        <w:tc>
          <w:tcPr>
            <w:tcW w:w="2800" w:type="dxa"/>
            <w:tcBorders/>
            <w:tcMar>
              <w:top w:w="80" w:type="dxa"/>
              <w:left w:w="100" w:type="dxa"/>
              <w:bottom w:w="80" w:type="dxa"/>
              <w:right w:w="100" w:type="dxa"/>
            </w:tcMar>
          </w:tcPr>
          <w:p w14:paraId="F589EC6C">
            <w:pPr>
              <w:pStyle w:val="style0"/>
              <w:spacing w:before="80" w:after="80"/>
              <w:jc w:val="left"/>
              <w:rPr/>
            </w:pPr>
            <w:r>
              <w:rPr>
                <w:rFonts w:ascii="Times New Roman" w:cs="Times New Roman" w:eastAsia="Times New Roman" w:hAnsi="Times New Roman"/>
                <w:b w:val="false"/>
                <w:bCs w:val="false"/>
                <w:sz w:val="20"/>
                <w:szCs w:val="20"/>
              </w:rPr>
              <w:t>Save and load trained pipeline</w:t>
            </w:r>
          </w:p>
        </w:tc>
      </w:tr>
      <w:tr w14:paraId="A9114A2D">
        <w:tblPrEx/>
        <w:trPr/>
        <w:tc>
          <w:tcPr>
            <w:tcW w:w="2300" w:type="dxa"/>
            <w:tcBorders/>
            <w:tcMar>
              <w:top w:w="80" w:type="dxa"/>
              <w:left w:w="100" w:type="dxa"/>
              <w:bottom w:w="80" w:type="dxa"/>
              <w:right w:w="100" w:type="dxa"/>
            </w:tcMar>
          </w:tcPr>
          <w:p w14:paraId="CB305DCD">
            <w:pPr>
              <w:pStyle w:val="style0"/>
              <w:spacing w:before="80" w:after="80"/>
              <w:jc w:val="left"/>
              <w:rPr/>
            </w:pPr>
            <w:r>
              <w:rPr>
                <w:rFonts w:ascii="Times New Roman" w:cs="Times New Roman" w:eastAsia="Times New Roman" w:hAnsi="Times New Roman"/>
                <w:b w:val="false"/>
                <w:bCs w:val="false"/>
                <w:sz w:val="20"/>
                <w:szCs w:val="20"/>
              </w:rPr>
              <w:t>Email</w:t>
            </w:r>
          </w:p>
        </w:tc>
        <w:tc>
          <w:tcPr>
            <w:tcW w:w="2500" w:type="dxa"/>
            <w:tcBorders/>
            <w:tcMar>
              <w:top w:w="80" w:type="dxa"/>
              <w:left w:w="100" w:type="dxa"/>
              <w:bottom w:w="80" w:type="dxa"/>
              <w:right w:w="100" w:type="dxa"/>
            </w:tcMar>
          </w:tcPr>
          <w:p w14:paraId="02C9C753">
            <w:pPr>
              <w:pStyle w:val="style0"/>
              <w:spacing w:before="80" w:after="80"/>
              <w:jc w:val="left"/>
              <w:rPr/>
            </w:pPr>
            <w:r>
              <w:rPr>
                <w:rFonts w:ascii="Times New Roman" w:cs="Times New Roman" w:eastAsia="Times New Roman" w:hAnsi="Times New Roman"/>
                <w:b w:val="false"/>
                <w:bCs w:val="false"/>
                <w:sz w:val="20"/>
                <w:szCs w:val="20"/>
              </w:rPr>
              <w:t>fastapi-mail</w:t>
            </w:r>
          </w:p>
        </w:tc>
        <w:tc>
          <w:tcPr>
            <w:tcW w:w="1400" w:type="dxa"/>
            <w:tcBorders/>
            <w:tcMar>
              <w:top w:w="80" w:type="dxa"/>
              <w:left w:w="100" w:type="dxa"/>
              <w:bottom w:w="80" w:type="dxa"/>
              <w:right w:w="100" w:type="dxa"/>
            </w:tcMar>
          </w:tcPr>
          <w:p w14:paraId="B8388990">
            <w:pPr>
              <w:pStyle w:val="style0"/>
              <w:spacing w:before="80" w:after="80"/>
              <w:jc w:val="left"/>
              <w:rPr/>
            </w:pPr>
            <w:r>
              <w:rPr>
                <w:rFonts w:ascii="Times New Roman" w:cs="Times New Roman" w:eastAsia="Times New Roman" w:hAnsi="Times New Roman"/>
                <w:b w:val="false"/>
                <w:bCs w:val="false"/>
                <w:sz w:val="20"/>
                <w:szCs w:val="20"/>
              </w:rPr>
              <w:t>1.6.4</w:t>
            </w:r>
          </w:p>
        </w:tc>
        <w:tc>
          <w:tcPr>
            <w:tcW w:w="2800" w:type="dxa"/>
            <w:tcBorders/>
            <w:tcMar>
              <w:top w:w="80" w:type="dxa"/>
              <w:left w:w="100" w:type="dxa"/>
              <w:bottom w:w="80" w:type="dxa"/>
              <w:right w:w="100" w:type="dxa"/>
            </w:tcMar>
          </w:tcPr>
          <w:p w14:paraId="D29B7ECC">
            <w:pPr>
              <w:pStyle w:val="style0"/>
              <w:spacing w:before="80" w:after="80"/>
              <w:jc w:val="left"/>
              <w:rPr/>
            </w:pPr>
            <w:r>
              <w:rPr>
                <w:rFonts w:ascii="Times New Roman" w:cs="Times New Roman" w:eastAsia="Times New Roman" w:hAnsi="Times New Roman"/>
                <w:b w:val="false"/>
                <w:bCs w:val="false"/>
                <w:sz w:val="20"/>
                <w:szCs w:val="20"/>
              </w:rPr>
              <w:t>OTP and notification emails via Gmail SMTP</w:t>
            </w:r>
          </w:p>
        </w:tc>
      </w:tr>
      <w:tr w14:paraId="F7D5658B">
        <w:tblPrEx/>
        <w:trPr/>
        <w:tc>
          <w:tcPr>
            <w:tcW w:w="2300" w:type="dxa"/>
            <w:tcBorders/>
            <w:tcMar>
              <w:top w:w="80" w:type="dxa"/>
              <w:left w:w="100" w:type="dxa"/>
              <w:bottom w:w="80" w:type="dxa"/>
              <w:right w:w="100" w:type="dxa"/>
            </w:tcMar>
          </w:tcPr>
          <w:p w14:paraId="3807030B">
            <w:pPr>
              <w:pStyle w:val="style0"/>
              <w:spacing w:before="80" w:after="80"/>
              <w:jc w:val="left"/>
              <w:rPr/>
            </w:pPr>
            <w:r>
              <w:rPr>
                <w:rFonts w:ascii="Times New Roman" w:cs="Times New Roman" w:eastAsia="Times New Roman" w:hAnsi="Times New Roman"/>
                <w:b w:val="false"/>
                <w:bCs w:val="false"/>
                <w:sz w:val="20"/>
                <w:szCs w:val="20"/>
              </w:rPr>
              <w:t>Frontend Framework</w:t>
            </w:r>
          </w:p>
        </w:tc>
        <w:tc>
          <w:tcPr>
            <w:tcW w:w="2500" w:type="dxa"/>
            <w:tcBorders/>
            <w:tcMar>
              <w:top w:w="80" w:type="dxa"/>
              <w:left w:w="100" w:type="dxa"/>
              <w:bottom w:w="80" w:type="dxa"/>
              <w:right w:w="100" w:type="dxa"/>
            </w:tcMar>
          </w:tcPr>
          <w:p w14:paraId="1CC8FD82">
            <w:pPr>
              <w:pStyle w:val="style0"/>
              <w:spacing w:before="80" w:after="80"/>
              <w:jc w:val="left"/>
              <w:rPr/>
            </w:pPr>
            <w:r>
              <w:rPr>
                <w:rFonts w:ascii="Times New Roman" w:cs="Times New Roman" w:eastAsia="Times New Roman" w:hAnsi="Times New Roman"/>
                <w:b w:val="false"/>
                <w:bCs w:val="false"/>
                <w:sz w:val="20"/>
                <w:szCs w:val="20"/>
              </w:rPr>
              <w:t>React + TypeScript</w:t>
            </w:r>
          </w:p>
        </w:tc>
        <w:tc>
          <w:tcPr>
            <w:tcW w:w="1400" w:type="dxa"/>
            <w:tcBorders/>
            <w:tcMar>
              <w:top w:w="80" w:type="dxa"/>
              <w:left w:w="100" w:type="dxa"/>
              <w:bottom w:w="80" w:type="dxa"/>
              <w:right w:w="100" w:type="dxa"/>
            </w:tcMar>
          </w:tcPr>
          <w:p w14:paraId="88EBB3A1">
            <w:pPr>
              <w:pStyle w:val="style0"/>
              <w:spacing w:before="80" w:after="80"/>
              <w:jc w:val="left"/>
              <w:rPr/>
            </w:pPr>
            <w:r>
              <w:rPr>
                <w:rFonts w:ascii="Times New Roman" w:cs="Times New Roman" w:eastAsia="Times New Roman" w:hAnsi="Times New Roman"/>
                <w:b w:val="false"/>
                <w:bCs w:val="false"/>
                <w:sz w:val="20"/>
                <w:szCs w:val="20"/>
              </w:rPr>
              <w:t>19.2.5 / 6.0.2</w:t>
            </w:r>
          </w:p>
        </w:tc>
        <w:tc>
          <w:tcPr>
            <w:tcW w:w="2800" w:type="dxa"/>
            <w:tcBorders/>
            <w:tcMar>
              <w:top w:w="80" w:type="dxa"/>
              <w:left w:w="100" w:type="dxa"/>
              <w:bottom w:w="80" w:type="dxa"/>
              <w:right w:w="100" w:type="dxa"/>
            </w:tcMar>
          </w:tcPr>
          <w:p w14:paraId="EC527DA8">
            <w:pPr>
              <w:pStyle w:val="style0"/>
              <w:spacing w:before="80" w:after="80"/>
              <w:jc w:val="left"/>
              <w:rPr/>
            </w:pPr>
            <w:r>
              <w:rPr>
                <w:rFonts w:ascii="Times New Roman" w:cs="Times New Roman" w:eastAsia="Times New Roman" w:hAnsi="Times New Roman"/>
                <w:b w:val="false"/>
                <w:bCs w:val="false"/>
                <w:sz w:val="20"/>
                <w:szCs w:val="20"/>
              </w:rPr>
              <w:t>Sender, driver, and admin interfaces</w:t>
            </w:r>
          </w:p>
        </w:tc>
      </w:tr>
      <w:tr w14:paraId="5E8FDC7E">
        <w:tblPrEx/>
        <w:trPr/>
        <w:tc>
          <w:tcPr>
            <w:tcW w:w="2300" w:type="dxa"/>
            <w:tcBorders/>
            <w:tcMar>
              <w:top w:w="80" w:type="dxa"/>
              <w:left w:w="100" w:type="dxa"/>
              <w:bottom w:w="80" w:type="dxa"/>
              <w:right w:w="100" w:type="dxa"/>
            </w:tcMar>
          </w:tcPr>
          <w:p w14:paraId="241AD90A">
            <w:pPr>
              <w:pStyle w:val="style0"/>
              <w:spacing w:before="80" w:after="80"/>
              <w:jc w:val="left"/>
              <w:rPr/>
            </w:pPr>
            <w:r>
              <w:rPr>
                <w:rFonts w:ascii="Times New Roman" w:cs="Times New Roman" w:eastAsia="Times New Roman" w:hAnsi="Times New Roman"/>
                <w:b w:val="false"/>
                <w:bCs w:val="false"/>
                <w:sz w:val="20"/>
                <w:szCs w:val="20"/>
              </w:rPr>
              <w:t>Build Tool</w:t>
            </w:r>
          </w:p>
        </w:tc>
        <w:tc>
          <w:tcPr>
            <w:tcW w:w="2500" w:type="dxa"/>
            <w:tcBorders/>
            <w:tcMar>
              <w:top w:w="80" w:type="dxa"/>
              <w:left w:w="100" w:type="dxa"/>
              <w:bottom w:w="80" w:type="dxa"/>
              <w:right w:w="100" w:type="dxa"/>
            </w:tcMar>
          </w:tcPr>
          <w:p w14:paraId="404D1D5C">
            <w:pPr>
              <w:pStyle w:val="style0"/>
              <w:spacing w:before="80" w:after="80"/>
              <w:jc w:val="left"/>
              <w:rPr/>
            </w:pPr>
            <w:r>
              <w:rPr>
                <w:rFonts w:ascii="Times New Roman" w:cs="Times New Roman" w:eastAsia="Times New Roman" w:hAnsi="Times New Roman"/>
                <w:b w:val="false"/>
                <w:bCs w:val="false"/>
                <w:sz w:val="20"/>
                <w:szCs w:val="20"/>
              </w:rPr>
              <w:t>Vite</w:t>
            </w:r>
          </w:p>
        </w:tc>
        <w:tc>
          <w:tcPr>
            <w:tcW w:w="1400" w:type="dxa"/>
            <w:tcBorders/>
            <w:tcMar>
              <w:top w:w="80" w:type="dxa"/>
              <w:left w:w="100" w:type="dxa"/>
              <w:bottom w:w="80" w:type="dxa"/>
              <w:right w:w="100" w:type="dxa"/>
            </w:tcMar>
          </w:tcPr>
          <w:p w14:paraId="AC510795">
            <w:pPr>
              <w:pStyle w:val="style0"/>
              <w:spacing w:before="80" w:after="80"/>
              <w:jc w:val="left"/>
              <w:rPr/>
            </w:pPr>
            <w:r>
              <w:rPr>
                <w:rFonts w:ascii="Times New Roman" w:cs="Times New Roman" w:eastAsia="Times New Roman" w:hAnsi="Times New Roman"/>
                <w:b w:val="false"/>
                <w:bCs w:val="false"/>
                <w:sz w:val="20"/>
                <w:szCs w:val="20"/>
              </w:rPr>
              <w:t>8.0.10</w:t>
            </w:r>
          </w:p>
        </w:tc>
        <w:tc>
          <w:tcPr>
            <w:tcW w:w="2800" w:type="dxa"/>
            <w:tcBorders/>
            <w:tcMar>
              <w:top w:w="80" w:type="dxa"/>
              <w:left w:w="100" w:type="dxa"/>
              <w:bottom w:w="80" w:type="dxa"/>
              <w:right w:w="100" w:type="dxa"/>
            </w:tcMar>
          </w:tcPr>
          <w:p w14:paraId="C10AD83D">
            <w:pPr>
              <w:pStyle w:val="style0"/>
              <w:spacing w:before="80" w:after="80"/>
              <w:jc w:val="left"/>
              <w:rPr/>
            </w:pPr>
            <w:r>
              <w:rPr>
                <w:rFonts w:ascii="Times New Roman" w:cs="Times New Roman" w:eastAsia="Times New Roman" w:hAnsi="Times New Roman"/>
                <w:b w:val="false"/>
                <w:bCs w:val="false"/>
                <w:sz w:val="20"/>
                <w:szCs w:val="20"/>
              </w:rPr>
              <w:t>Frontend bundling and development server</w:t>
            </w:r>
          </w:p>
        </w:tc>
      </w:tr>
      <w:tr w14:paraId="7717B618">
        <w:tblPrEx/>
        <w:trPr/>
        <w:tc>
          <w:tcPr>
            <w:tcW w:w="2300" w:type="dxa"/>
            <w:tcBorders/>
            <w:tcMar>
              <w:top w:w="80" w:type="dxa"/>
              <w:left w:w="100" w:type="dxa"/>
              <w:bottom w:w="80" w:type="dxa"/>
              <w:right w:w="100" w:type="dxa"/>
            </w:tcMar>
          </w:tcPr>
          <w:p w14:paraId="03DA7089">
            <w:pPr>
              <w:pStyle w:val="style0"/>
              <w:spacing w:before="80" w:after="80"/>
              <w:jc w:val="left"/>
              <w:rPr/>
            </w:pPr>
            <w:r>
              <w:rPr>
                <w:rFonts w:ascii="Times New Roman" w:cs="Times New Roman" w:eastAsia="Times New Roman" w:hAnsi="Times New Roman"/>
                <w:b w:val="false"/>
                <w:bCs w:val="false"/>
                <w:sz w:val="20"/>
                <w:szCs w:val="20"/>
              </w:rPr>
              <w:t>Styling</w:t>
            </w:r>
          </w:p>
        </w:tc>
        <w:tc>
          <w:tcPr>
            <w:tcW w:w="2500" w:type="dxa"/>
            <w:tcBorders/>
            <w:tcMar>
              <w:top w:w="80" w:type="dxa"/>
              <w:left w:w="100" w:type="dxa"/>
              <w:bottom w:w="80" w:type="dxa"/>
              <w:right w:w="100" w:type="dxa"/>
            </w:tcMar>
          </w:tcPr>
          <w:p w14:paraId="904FCAA2">
            <w:pPr>
              <w:pStyle w:val="style0"/>
              <w:spacing w:before="80" w:after="80"/>
              <w:jc w:val="left"/>
              <w:rPr/>
            </w:pPr>
            <w:r>
              <w:rPr>
                <w:rFonts w:ascii="Times New Roman" w:cs="Times New Roman" w:eastAsia="Times New Roman" w:hAnsi="Times New Roman"/>
                <w:b w:val="false"/>
                <w:bCs w:val="false"/>
                <w:sz w:val="20"/>
                <w:szCs w:val="20"/>
              </w:rPr>
              <w:t>Tailwind CSS</w:t>
            </w:r>
          </w:p>
        </w:tc>
        <w:tc>
          <w:tcPr>
            <w:tcW w:w="1400" w:type="dxa"/>
            <w:tcBorders/>
            <w:tcMar>
              <w:top w:w="80" w:type="dxa"/>
              <w:left w:w="100" w:type="dxa"/>
              <w:bottom w:w="80" w:type="dxa"/>
              <w:right w:w="100" w:type="dxa"/>
            </w:tcMar>
          </w:tcPr>
          <w:p w14:paraId="D42549A8">
            <w:pPr>
              <w:pStyle w:val="style0"/>
              <w:spacing w:before="80" w:after="80"/>
              <w:jc w:val="left"/>
              <w:rPr/>
            </w:pPr>
            <w:r>
              <w:rPr>
                <w:rFonts w:ascii="Times New Roman" w:cs="Times New Roman" w:eastAsia="Times New Roman" w:hAnsi="Times New Roman"/>
                <w:b w:val="false"/>
                <w:bCs w:val="false"/>
                <w:sz w:val="20"/>
                <w:szCs w:val="20"/>
              </w:rPr>
              <w:t>4.2.4</w:t>
            </w:r>
          </w:p>
        </w:tc>
        <w:tc>
          <w:tcPr>
            <w:tcW w:w="2800" w:type="dxa"/>
            <w:tcBorders/>
            <w:tcMar>
              <w:top w:w="80" w:type="dxa"/>
              <w:left w:w="100" w:type="dxa"/>
              <w:bottom w:w="80" w:type="dxa"/>
              <w:right w:w="100" w:type="dxa"/>
            </w:tcMar>
          </w:tcPr>
          <w:p w14:paraId="32E4C50F">
            <w:pPr>
              <w:pStyle w:val="style0"/>
              <w:spacing w:before="80" w:after="80"/>
              <w:jc w:val="left"/>
              <w:rPr/>
            </w:pPr>
            <w:r>
              <w:rPr>
                <w:rFonts w:ascii="Times New Roman" w:cs="Times New Roman" w:eastAsia="Times New Roman" w:hAnsi="Times New Roman"/>
                <w:b w:val="false"/>
                <w:bCs w:val="false"/>
                <w:sz w:val="20"/>
                <w:szCs w:val="20"/>
              </w:rPr>
              <w:t>Utility-first CSS framework</w:t>
            </w:r>
          </w:p>
        </w:tc>
      </w:tr>
      <w:tr w14:paraId="9956290E">
        <w:tblPrEx/>
        <w:trPr/>
        <w:tc>
          <w:tcPr>
            <w:tcW w:w="2300" w:type="dxa"/>
            <w:tcBorders/>
            <w:tcMar>
              <w:top w:w="80" w:type="dxa"/>
              <w:left w:w="100" w:type="dxa"/>
              <w:bottom w:w="80" w:type="dxa"/>
              <w:right w:w="100" w:type="dxa"/>
            </w:tcMar>
          </w:tcPr>
          <w:p w14:paraId="4273A7E7">
            <w:pPr>
              <w:pStyle w:val="style0"/>
              <w:spacing w:before="80" w:after="80"/>
              <w:jc w:val="left"/>
              <w:rPr/>
            </w:pPr>
            <w:r>
              <w:rPr>
                <w:rFonts w:ascii="Times New Roman" w:cs="Times New Roman" w:eastAsia="Times New Roman" w:hAnsi="Times New Roman"/>
                <w:b w:val="false"/>
                <w:bCs w:val="false"/>
                <w:sz w:val="20"/>
                <w:szCs w:val="20"/>
              </w:rPr>
              <w:t>HTTP Client</w:t>
            </w:r>
          </w:p>
        </w:tc>
        <w:tc>
          <w:tcPr>
            <w:tcW w:w="2500" w:type="dxa"/>
            <w:tcBorders/>
            <w:tcMar>
              <w:top w:w="80" w:type="dxa"/>
              <w:left w:w="100" w:type="dxa"/>
              <w:bottom w:w="80" w:type="dxa"/>
              <w:right w:w="100" w:type="dxa"/>
            </w:tcMar>
          </w:tcPr>
          <w:p w14:paraId="47850FB0">
            <w:pPr>
              <w:pStyle w:val="style0"/>
              <w:spacing w:before="80" w:after="80"/>
              <w:jc w:val="left"/>
              <w:rPr/>
            </w:pPr>
            <w:r>
              <w:rPr>
                <w:rFonts w:ascii="Times New Roman" w:cs="Times New Roman" w:eastAsia="Times New Roman" w:hAnsi="Times New Roman"/>
                <w:b w:val="false"/>
                <w:bCs w:val="false"/>
                <w:sz w:val="20"/>
                <w:szCs w:val="20"/>
              </w:rPr>
              <w:t>Axios</w:t>
            </w:r>
          </w:p>
        </w:tc>
        <w:tc>
          <w:tcPr>
            <w:tcW w:w="1400" w:type="dxa"/>
            <w:tcBorders/>
            <w:tcMar>
              <w:top w:w="80" w:type="dxa"/>
              <w:left w:w="100" w:type="dxa"/>
              <w:bottom w:w="80" w:type="dxa"/>
              <w:right w:w="100" w:type="dxa"/>
            </w:tcMar>
          </w:tcPr>
          <w:p w14:paraId="02C299F6">
            <w:pPr>
              <w:pStyle w:val="style0"/>
              <w:spacing w:before="80" w:after="80"/>
              <w:jc w:val="left"/>
              <w:rPr/>
            </w:pPr>
            <w:r>
              <w:rPr>
                <w:rFonts w:ascii="Times New Roman" w:cs="Times New Roman" w:eastAsia="Times New Roman" w:hAnsi="Times New Roman"/>
                <w:b w:val="false"/>
                <w:bCs w:val="false"/>
                <w:sz w:val="20"/>
                <w:szCs w:val="20"/>
              </w:rPr>
              <w:t>1.16.0</w:t>
            </w:r>
          </w:p>
        </w:tc>
        <w:tc>
          <w:tcPr>
            <w:tcW w:w="2800" w:type="dxa"/>
            <w:tcBorders/>
            <w:tcMar>
              <w:top w:w="80" w:type="dxa"/>
              <w:left w:w="100" w:type="dxa"/>
              <w:bottom w:w="80" w:type="dxa"/>
              <w:right w:w="100" w:type="dxa"/>
            </w:tcMar>
          </w:tcPr>
          <w:p w14:paraId="07395B09">
            <w:pPr>
              <w:pStyle w:val="style0"/>
              <w:spacing w:before="80" w:after="80"/>
              <w:jc w:val="left"/>
              <w:rPr/>
            </w:pPr>
            <w:r>
              <w:rPr>
                <w:rFonts w:ascii="Times New Roman" w:cs="Times New Roman" w:eastAsia="Times New Roman" w:hAnsi="Times New Roman"/>
                <w:b w:val="false"/>
                <w:bCs w:val="false"/>
                <w:sz w:val="20"/>
                <w:szCs w:val="20"/>
              </w:rPr>
              <w:t>REST API calls from frontend</w:t>
            </w:r>
          </w:p>
        </w:tc>
      </w:tr>
      <w:tr w14:paraId="AE121C36">
        <w:tblPrEx/>
        <w:trPr/>
        <w:tc>
          <w:tcPr>
            <w:tcW w:w="2300" w:type="dxa"/>
            <w:tcBorders/>
            <w:tcMar>
              <w:top w:w="80" w:type="dxa"/>
              <w:left w:w="100" w:type="dxa"/>
              <w:bottom w:w="80" w:type="dxa"/>
              <w:right w:w="100" w:type="dxa"/>
            </w:tcMar>
          </w:tcPr>
          <w:p w14:paraId="8F3D3F57">
            <w:pPr>
              <w:pStyle w:val="style0"/>
              <w:spacing w:before="80" w:after="80"/>
              <w:jc w:val="left"/>
              <w:rPr/>
            </w:pPr>
            <w:r>
              <w:rPr>
                <w:rFonts w:ascii="Times New Roman" w:cs="Times New Roman" w:eastAsia="Times New Roman" w:hAnsi="Times New Roman"/>
                <w:b w:val="false"/>
                <w:bCs w:val="false"/>
                <w:sz w:val="20"/>
                <w:szCs w:val="20"/>
              </w:rPr>
              <w:t>State Management</w:t>
            </w:r>
          </w:p>
        </w:tc>
        <w:tc>
          <w:tcPr>
            <w:tcW w:w="2500" w:type="dxa"/>
            <w:tcBorders/>
            <w:tcMar>
              <w:top w:w="80" w:type="dxa"/>
              <w:left w:w="100" w:type="dxa"/>
              <w:bottom w:w="80" w:type="dxa"/>
              <w:right w:w="100" w:type="dxa"/>
            </w:tcMar>
          </w:tcPr>
          <w:p w14:paraId="D1F96DCC">
            <w:pPr>
              <w:pStyle w:val="style0"/>
              <w:spacing w:before="80" w:after="80"/>
              <w:jc w:val="left"/>
              <w:rPr/>
            </w:pPr>
            <w:r>
              <w:rPr>
                <w:rFonts w:ascii="Times New Roman" w:cs="Times New Roman" w:eastAsia="Times New Roman" w:hAnsi="Times New Roman"/>
                <w:b w:val="false"/>
                <w:bCs w:val="false"/>
                <w:sz w:val="20"/>
                <w:szCs w:val="20"/>
              </w:rPr>
              <w:t>Zustand</w:t>
            </w:r>
          </w:p>
        </w:tc>
        <w:tc>
          <w:tcPr>
            <w:tcW w:w="1400" w:type="dxa"/>
            <w:tcBorders/>
            <w:tcMar>
              <w:top w:w="80" w:type="dxa"/>
              <w:left w:w="100" w:type="dxa"/>
              <w:bottom w:w="80" w:type="dxa"/>
              <w:right w:w="100" w:type="dxa"/>
            </w:tcMar>
          </w:tcPr>
          <w:p w14:paraId="65EAA27B">
            <w:pPr>
              <w:pStyle w:val="style0"/>
              <w:spacing w:before="80" w:after="80"/>
              <w:jc w:val="left"/>
              <w:rPr/>
            </w:pPr>
            <w:r>
              <w:rPr>
                <w:rFonts w:ascii="Times New Roman" w:cs="Times New Roman" w:eastAsia="Times New Roman" w:hAnsi="Times New Roman"/>
                <w:b w:val="false"/>
                <w:bCs w:val="false"/>
                <w:sz w:val="20"/>
                <w:szCs w:val="20"/>
              </w:rPr>
              <w:t>5.0.13</w:t>
            </w:r>
          </w:p>
        </w:tc>
        <w:tc>
          <w:tcPr>
            <w:tcW w:w="2800" w:type="dxa"/>
            <w:tcBorders/>
            <w:tcMar>
              <w:top w:w="80" w:type="dxa"/>
              <w:left w:w="100" w:type="dxa"/>
              <w:bottom w:w="80" w:type="dxa"/>
              <w:right w:w="100" w:type="dxa"/>
            </w:tcMar>
          </w:tcPr>
          <w:p w14:paraId="D592DB7B">
            <w:pPr>
              <w:pStyle w:val="style0"/>
              <w:spacing w:before="80" w:after="80"/>
              <w:jc w:val="left"/>
              <w:rPr/>
            </w:pPr>
            <w:r>
              <w:rPr>
                <w:rFonts w:ascii="Times New Roman" w:cs="Times New Roman" w:eastAsia="Times New Roman" w:hAnsi="Times New Roman"/>
                <w:b w:val="false"/>
                <w:bCs w:val="false"/>
                <w:sz w:val="20"/>
                <w:szCs w:val="20"/>
              </w:rPr>
              <w:t>Global client-side state</w:t>
            </w:r>
          </w:p>
        </w:tc>
      </w:tr>
      <w:tr w14:paraId="3F78DC47">
        <w:tblPrEx/>
        <w:trPr/>
        <w:tc>
          <w:tcPr>
            <w:tcW w:w="2300" w:type="dxa"/>
            <w:tcBorders/>
            <w:tcMar>
              <w:top w:w="80" w:type="dxa"/>
              <w:left w:w="100" w:type="dxa"/>
              <w:bottom w:w="80" w:type="dxa"/>
              <w:right w:w="100" w:type="dxa"/>
            </w:tcMar>
          </w:tcPr>
          <w:p w14:paraId="E601B093">
            <w:pPr>
              <w:pStyle w:val="style0"/>
              <w:spacing w:before="80" w:after="80"/>
              <w:jc w:val="left"/>
              <w:rPr/>
            </w:pPr>
            <w:r>
              <w:rPr>
                <w:rFonts w:ascii="Times New Roman" w:cs="Times New Roman" w:eastAsia="Times New Roman" w:hAnsi="Times New Roman"/>
                <w:b w:val="false"/>
                <w:bCs w:val="false"/>
                <w:sz w:val="20"/>
                <w:szCs w:val="20"/>
              </w:rPr>
              <w:t>Map Library</w:t>
            </w:r>
          </w:p>
        </w:tc>
        <w:tc>
          <w:tcPr>
            <w:tcW w:w="2500" w:type="dxa"/>
            <w:tcBorders/>
            <w:tcMar>
              <w:top w:w="80" w:type="dxa"/>
              <w:left w:w="100" w:type="dxa"/>
              <w:bottom w:w="80" w:type="dxa"/>
              <w:right w:w="100" w:type="dxa"/>
            </w:tcMar>
          </w:tcPr>
          <w:p w14:paraId="5AF38425">
            <w:pPr>
              <w:pStyle w:val="style0"/>
              <w:spacing w:before="80" w:after="80"/>
              <w:jc w:val="left"/>
              <w:rPr/>
            </w:pPr>
            <w:r>
              <w:rPr>
                <w:rFonts w:ascii="Times New Roman" w:cs="Times New Roman" w:eastAsia="Times New Roman" w:hAnsi="Times New Roman"/>
                <w:b w:val="false"/>
                <w:bCs w:val="false"/>
                <w:sz w:val="20"/>
                <w:szCs w:val="20"/>
              </w:rPr>
              <w:t>React Leaflet</w:t>
            </w:r>
          </w:p>
        </w:tc>
        <w:tc>
          <w:tcPr>
            <w:tcW w:w="1400" w:type="dxa"/>
            <w:tcBorders/>
            <w:tcMar>
              <w:top w:w="80" w:type="dxa"/>
              <w:left w:w="100" w:type="dxa"/>
              <w:bottom w:w="80" w:type="dxa"/>
              <w:right w:w="100" w:type="dxa"/>
            </w:tcMar>
          </w:tcPr>
          <w:p w14:paraId="853F02CC">
            <w:pPr>
              <w:pStyle w:val="style0"/>
              <w:spacing w:before="80" w:after="80"/>
              <w:jc w:val="left"/>
              <w:rPr/>
            </w:pPr>
            <w:r>
              <w:rPr>
                <w:rFonts w:ascii="Times New Roman" w:cs="Times New Roman" w:eastAsia="Times New Roman" w:hAnsi="Times New Roman"/>
                <w:b w:val="false"/>
                <w:bCs w:val="false"/>
                <w:sz w:val="20"/>
                <w:szCs w:val="20"/>
              </w:rPr>
              <w:t>5.0.0</w:t>
            </w:r>
          </w:p>
        </w:tc>
        <w:tc>
          <w:tcPr>
            <w:tcW w:w="2800" w:type="dxa"/>
            <w:tcBorders/>
            <w:tcMar>
              <w:top w:w="80" w:type="dxa"/>
              <w:left w:w="100" w:type="dxa"/>
              <w:bottom w:w="80" w:type="dxa"/>
              <w:right w:w="100" w:type="dxa"/>
            </w:tcMar>
          </w:tcPr>
          <w:p w14:paraId="ED8B984C">
            <w:pPr>
              <w:pStyle w:val="style0"/>
              <w:spacing w:before="80" w:after="80"/>
              <w:jc w:val="left"/>
              <w:rPr/>
            </w:pPr>
            <w:r>
              <w:rPr>
                <w:rFonts w:ascii="Times New Roman" w:cs="Times New Roman" w:eastAsia="Times New Roman" w:hAnsi="Times New Roman"/>
                <w:b w:val="false"/>
                <w:bCs w:val="false"/>
                <w:sz w:val="20"/>
                <w:szCs w:val="20"/>
              </w:rPr>
              <w:t>Interactive delivery tracking map (OpenStreetMap)</w:t>
            </w:r>
          </w:p>
        </w:tc>
      </w:tr>
      <w:tr w14:paraId="35DF2317">
        <w:tblPrEx/>
        <w:trPr/>
        <w:tc>
          <w:tcPr>
            <w:tcW w:w="2300" w:type="dxa"/>
            <w:tcBorders/>
            <w:tcMar>
              <w:top w:w="80" w:type="dxa"/>
              <w:left w:w="100" w:type="dxa"/>
              <w:bottom w:w="80" w:type="dxa"/>
              <w:right w:w="100" w:type="dxa"/>
            </w:tcMar>
          </w:tcPr>
          <w:p w14:paraId="C8243280">
            <w:pPr>
              <w:pStyle w:val="style0"/>
              <w:spacing w:before="80" w:after="80"/>
              <w:jc w:val="left"/>
              <w:rPr/>
            </w:pPr>
            <w:r>
              <w:rPr>
                <w:rFonts w:ascii="Times New Roman" w:cs="Times New Roman" w:eastAsia="Times New Roman" w:hAnsi="Times New Roman"/>
                <w:b w:val="false"/>
                <w:bCs w:val="false"/>
                <w:sz w:val="20"/>
                <w:szCs w:val="20"/>
              </w:rPr>
              <w:t>Map Library (Admin)</w:t>
            </w:r>
          </w:p>
        </w:tc>
        <w:tc>
          <w:tcPr>
            <w:tcW w:w="2500" w:type="dxa"/>
            <w:tcBorders/>
            <w:tcMar>
              <w:top w:w="80" w:type="dxa"/>
              <w:left w:w="100" w:type="dxa"/>
              <w:bottom w:w="80" w:type="dxa"/>
              <w:right w:w="100" w:type="dxa"/>
            </w:tcMar>
          </w:tcPr>
          <w:p w14:paraId="E6A2DB02">
            <w:pPr>
              <w:pStyle w:val="style0"/>
              <w:spacing w:before="80" w:after="80"/>
              <w:jc w:val="left"/>
              <w:rPr/>
            </w:pPr>
            <w:r>
              <w:rPr>
                <w:rFonts w:ascii="Times New Roman" w:cs="Times New Roman" w:eastAsia="Times New Roman" w:hAnsi="Times New Roman"/>
                <w:b w:val="false"/>
                <w:bCs w:val="false"/>
                <w:sz w:val="20"/>
                <w:szCs w:val="20"/>
              </w:rPr>
              <w:t>@react-google-maps/api</w:t>
            </w:r>
          </w:p>
        </w:tc>
        <w:tc>
          <w:tcPr>
            <w:tcW w:w="1400" w:type="dxa"/>
            <w:tcBorders/>
            <w:tcMar>
              <w:top w:w="80" w:type="dxa"/>
              <w:left w:w="100" w:type="dxa"/>
              <w:bottom w:w="80" w:type="dxa"/>
              <w:right w:w="100" w:type="dxa"/>
            </w:tcMar>
          </w:tcPr>
          <w:p w14:paraId="79656CFD">
            <w:pPr>
              <w:pStyle w:val="style0"/>
              <w:spacing w:before="80" w:after="80"/>
              <w:jc w:val="left"/>
              <w:rPr/>
            </w:pPr>
            <w:r>
              <w:rPr>
                <w:rFonts w:ascii="Times New Roman" w:cs="Times New Roman" w:eastAsia="Times New Roman" w:hAnsi="Times New Roman"/>
                <w:b w:val="false"/>
                <w:bCs w:val="false"/>
                <w:sz w:val="20"/>
                <w:szCs w:val="20"/>
              </w:rPr>
              <w:t>2.20.8</w:t>
            </w:r>
          </w:p>
        </w:tc>
        <w:tc>
          <w:tcPr>
            <w:tcW w:w="2800" w:type="dxa"/>
            <w:tcBorders/>
            <w:tcMar>
              <w:top w:w="80" w:type="dxa"/>
              <w:left w:w="100" w:type="dxa"/>
              <w:bottom w:w="80" w:type="dxa"/>
              <w:right w:w="100" w:type="dxa"/>
            </w:tcMar>
          </w:tcPr>
          <w:p w14:paraId="58B6E730">
            <w:pPr>
              <w:pStyle w:val="style0"/>
              <w:spacing w:before="80" w:after="80"/>
              <w:jc w:val="left"/>
              <w:rPr/>
            </w:pPr>
            <w:r>
              <w:rPr>
                <w:rFonts w:ascii="Times New Roman" w:cs="Times New Roman" w:eastAsia="Times New Roman" w:hAnsi="Times New Roman"/>
                <w:b w:val="false"/>
                <w:bCs w:val="false"/>
                <w:sz w:val="20"/>
                <w:szCs w:val="20"/>
              </w:rPr>
              <w:t>Google Maps integration for admin views</w:t>
            </w:r>
          </w:p>
        </w:tc>
      </w:tr>
      <w:tr w14:paraId="DD05438C">
        <w:tblPrEx/>
        <w:trPr/>
        <w:tc>
          <w:tcPr>
            <w:tcW w:w="2300" w:type="dxa"/>
            <w:tcBorders/>
            <w:tcMar>
              <w:top w:w="80" w:type="dxa"/>
              <w:left w:w="100" w:type="dxa"/>
              <w:bottom w:w="80" w:type="dxa"/>
              <w:right w:w="100" w:type="dxa"/>
            </w:tcMar>
          </w:tcPr>
          <w:p w14:paraId="0D64A414">
            <w:pPr>
              <w:pStyle w:val="style0"/>
              <w:spacing w:before="80" w:after="80"/>
              <w:jc w:val="left"/>
              <w:rPr/>
            </w:pPr>
            <w:r>
              <w:rPr>
                <w:rFonts w:ascii="Times New Roman" w:cs="Times New Roman" w:eastAsia="Times New Roman" w:hAnsi="Times New Roman"/>
                <w:b w:val="false"/>
                <w:bCs w:val="false"/>
                <w:sz w:val="20"/>
                <w:szCs w:val="20"/>
              </w:rPr>
              <w:t>Route Lines</w:t>
            </w:r>
          </w:p>
        </w:tc>
        <w:tc>
          <w:tcPr>
            <w:tcW w:w="2500" w:type="dxa"/>
            <w:tcBorders/>
            <w:tcMar>
              <w:top w:w="80" w:type="dxa"/>
              <w:left w:w="100" w:type="dxa"/>
              <w:bottom w:w="80" w:type="dxa"/>
              <w:right w:w="100" w:type="dxa"/>
            </w:tcMar>
          </w:tcPr>
          <w:p w14:paraId="7E32AE68">
            <w:pPr>
              <w:pStyle w:val="style0"/>
              <w:spacing w:before="80" w:after="80"/>
              <w:jc w:val="left"/>
              <w:rPr/>
            </w:pPr>
            <w:r>
              <w:rPr>
                <w:rFonts w:ascii="Times New Roman" w:cs="Times New Roman" w:eastAsia="Times New Roman" w:hAnsi="Times New Roman"/>
                <w:b w:val="false"/>
                <w:bCs w:val="false"/>
                <w:sz w:val="20"/>
                <w:szCs w:val="20"/>
              </w:rPr>
              <w:t>OSRM</w:t>
            </w:r>
          </w:p>
        </w:tc>
        <w:tc>
          <w:tcPr>
            <w:tcW w:w="1400" w:type="dxa"/>
            <w:tcBorders/>
            <w:tcMar>
              <w:top w:w="80" w:type="dxa"/>
              <w:left w:w="100" w:type="dxa"/>
              <w:bottom w:w="80" w:type="dxa"/>
              <w:right w:w="100" w:type="dxa"/>
            </w:tcMar>
          </w:tcPr>
          <w:p w14:paraId="C7075B0E">
            <w:pPr>
              <w:pStyle w:val="style0"/>
              <w:spacing w:before="80" w:after="80"/>
              <w:jc w:val="left"/>
              <w:rPr/>
            </w:pPr>
            <w:r>
              <w:rPr>
                <w:rFonts w:ascii="Times New Roman" w:cs="Times New Roman" w:eastAsia="Times New Roman" w:hAnsi="Times New Roman"/>
                <w:b w:val="false"/>
                <w:bCs w:val="false"/>
                <w:sz w:val="20"/>
                <w:szCs w:val="20"/>
              </w:rPr>
              <w:t>Public API</w:t>
            </w:r>
          </w:p>
        </w:tc>
        <w:tc>
          <w:tcPr>
            <w:tcW w:w="2800" w:type="dxa"/>
            <w:tcBorders/>
            <w:tcMar>
              <w:top w:w="80" w:type="dxa"/>
              <w:left w:w="100" w:type="dxa"/>
              <w:bottom w:w="80" w:type="dxa"/>
              <w:right w:w="100" w:type="dxa"/>
            </w:tcMar>
          </w:tcPr>
          <w:p w14:paraId="EC483446">
            <w:pPr>
              <w:pStyle w:val="style0"/>
              <w:spacing w:before="80" w:after="80"/>
              <w:jc w:val="left"/>
              <w:rPr/>
            </w:pPr>
            <w:r>
              <w:rPr>
                <w:rFonts w:ascii="Times New Roman" w:cs="Times New Roman" w:eastAsia="Times New Roman" w:hAnsi="Times New Roman"/>
                <w:b w:val="false"/>
                <w:bCs w:val="false"/>
                <w:sz w:val="20"/>
                <w:szCs w:val="20"/>
              </w:rPr>
              <w:t>Free road routing polylines for tracking map</w:t>
            </w:r>
          </w:p>
        </w:tc>
      </w:tr>
      <w:tr w14:paraId="0B692DAB">
        <w:tblPrEx/>
        <w:trPr/>
        <w:tc>
          <w:tcPr>
            <w:tcW w:w="2300" w:type="dxa"/>
            <w:tcBorders/>
            <w:tcMar>
              <w:top w:w="80" w:type="dxa"/>
              <w:left w:w="100" w:type="dxa"/>
              <w:bottom w:w="80" w:type="dxa"/>
              <w:right w:w="100" w:type="dxa"/>
            </w:tcMar>
          </w:tcPr>
          <w:p w14:paraId="73DC0677">
            <w:pPr>
              <w:pStyle w:val="style0"/>
              <w:spacing w:before="80" w:after="80"/>
              <w:jc w:val="left"/>
              <w:rPr/>
            </w:pPr>
            <w:r>
              <w:rPr>
                <w:rFonts w:ascii="Times New Roman" w:cs="Times New Roman" w:eastAsia="Times New Roman" w:hAnsi="Times New Roman"/>
                <w:b w:val="false"/>
                <w:bCs w:val="false"/>
                <w:sz w:val="20"/>
                <w:szCs w:val="20"/>
              </w:rPr>
              <w:t>Charts</w:t>
            </w:r>
          </w:p>
        </w:tc>
        <w:tc>
          <w:tcPr>
            <w:tcW w:w="2500" w:type="dxa"/>
            <w:tcBorders/>
            <w:tcMar>
              <w:top w:w="80" w:type="dxa"/>
              <w:left w:w="100" w:type="dxa"/>
              <w:bottom w:w="80" w:type="dxa"/>
              <w:right w:w="100" w:type="dxa"/>
            </w:tcMar>
          </w:tcPr>
          <w:p w14:paraId="76380B20">
            <w:pPr>
              <w:pStyle w:val="style0"/>
              <w:spacing w:before="80" w:after="80"/>
              <w:jc w:val="left"/>
              <w:rPr/>
            </w:pPr>
            <w:r>
              <w:rPr>
                <w:rFonts w:ascii="Times New Roman" w:cs="Times New Roman" w:eastAsia="Times New Roman" w:hAnsi="Times New Roman"/>
                <w:b w:val="false"/>
                <w:bCs w:val="false"/>
                <w:sz w:val="20"/>
                <w:szCs w:val="20"/>
              </w:rPr>
              <w:t>Recharts</w:t>
            </w:r>
          </w:p>
        </w:tc>
        <w:tc>
          <w:tcPr>
            <w:tcW w:w="1400" w:type="dxa"/>
            <w:tcBorders/>
            <w:tcMar>
              <w:top w:w="80" w:type="dxa"/>
              <w:left w:w="100" w:type="dxa"/>
              <w:bottom w:w="80" w:type="dxa"/>
              <w:right w:w="100" w:type="dxa"/>
            </w:tcMar>
          </w:tcPr>
          <w:p w14:paraId="0E643473">
            <w:pPr>
              <w:pStyle w:val="style0"/>
              <w:spacing w:before="80" w:after="80"/>
              <w:jc w:val="left"/>
              <w:rPr/>
            </w:pPr>
            <w:r>
              <w:rPr>
                <w:rFonts w:ascii="Times New Roman" w:cs="Times New Roman" w:eastAsia="Times New Roman" w:hAnsi="Times New Roman"/>
                <w:b w:val="false"/>
                <w:bCs w:val="false"/>
                <w:sz w:val="20"/>
                <w:szCs w:val="20"/>
              </w:rPr>
              <w:t>3.8.1</w:t>
            </w:r>
          </w:p>
        </w:tc>
        <w:tc>
          <w:tcPr>
            <w:tcW w:w="2800" w:type="dxa"/>
            <w:tcBorders/>
            <w:tcMar>
              <w:top w:w="80" w:type="dxa"/>
              <w:left w:w="100" w:type="dxa"/>
              <w:bottom w:w="80" w:type="dxa"/>
              <w:right w:w="100" w:type="dxa"/>
            </w:tcMar>
          </w:tcPr>
          <w:p w14:paraId="E338967D">
            <w:pPr>
              <w:pStyle w:val="style0"/>
              <w:spacing w:before="80" w:after="80"/>
              <w:jc w:val="left"/>
              <w:rPr/>
            </w:pPr>
            <w:r>
              <w:rPr>
                <w:rFonts w:ascii="Times New Roman" w:cs="Times New Roman" w:eastAsia="Times New Roman" w:hAnsi="Times New Roman"/>
                <w:b w:val="false"/>
                <w:bCs w:val="false"/>
                <w:sz w:val="20"/>
                <w:szCs w:val="20"/>
              </w:rPr>
              <w:t>Order volume and analytics charts in admin dashboard</w:t>
            </w:r>
          </w:p>
        </w:tc>
      </w:tr>
      <w:tr w14:paraId="6B262046">
        <w:tblPrEx/>
        <w:trPr/>
        <w:tc>
          <w:tcPr>
            <w:tcW w:w="2300" w:type="dxa"/>
            <w:tcBorders/>
            <w:tcMar>
              <w:top w:w="80" w:type="dxa"/>
              <w:left w:w="100" w:type="dxa"/>
              <w:bottom w:w="80" w:type="dxa"/>
              <w:right w:w="100" w:type="dxa"/>
            </w:tcMar>
          </w:tcPr>
          <w:p w14:paraId="952E82C4">
            <w:pPr>
              <w:pStyle w:val="style0"/>
              <w:spacing w:before="80" w:after="80"/>
              <w:jc w:val="left"/>
              <w:rPr/>
            </w:pPr>
            <w:r>
              <w:rPr>
                <w:rFonts w:ascii="Times New Roman" w:cs="Times New Roman" w:eastAsia="Times New Roman" w:hAnsi="Times New Roman"/>
                <w:b w:val="false"/>
                <w:bCs w:val="false"/>
                <w:sz w:val="20"/>
                <w:szCs w:val="20"/>
              </w:rPr>
              <w:t>Routing</w:t>
            </w:r>
          </w:p>
        </w:tc>
        <w:tc>
          <w:tcPr>
            <w:tcW w:w="2500" w:type="dxa"/>
            <w:tcBorders/>
            <w:tcMar>
              <w:top w:w="80" w:type="dxa"/>
              <w:left w:w="100" w:type="dxa"/>
              <w:bottom w:w="80" w:type="dxa"/>
              <w:right w:w="100" w:type="dxa"/>
            </w:tcMar>
          </w:tcPr>
          <w:p w14:paraId="3D997E68">
            <w:pPr>
              <w:pStyle w:val="style0"/>
              <w:spacing w:before="80" w:after="80"/>
              <w:jc w:val="left"/>
              <w:rPr/>
            </w:pPr>
            <w:r>
              <w:rPr>
                <w:rFonts w:ascii="Times New Roman" w:cs="Times New Roman" w:eastAsia="Times New Roman" w:hAnsi="Times New Roman"/>
                <w:b w:val="false"/>
                <w:bCs w:val="false"/>
                <w:sz w:val="20"/>
                <w:szCs w:val="20"/>
              </w:rPr>
              <w:t>React Router DOM</w:t>
            </w:r>
          </w:p>
        </w:tc>
        <w:tc>
          <w:tcPr>
            <w:tcW w:w="1400" w:type="dxa"/>
            <w:tcBorders/>
            <w:tcMar>
              <w:top w:w="80" w:type="dxa"/>
              <w:left w:w="100" w:type="dxa"/>
              <w:bottom w:w="80" w:type="dxa"/>
              <w:right w:w="100" w:type="dxa"/>
            </w:tcMar>
          </w:tcPr>
          <w:p w14:paraId="155F07FB">
            <w:pPr>
              <w:pStyle w:val="style0"/>
              <w:spacing w:before="80" w:after="80"/>
              <w:jc w:val="left"/>
              <w:rPr/>
            </w:pPr>
            <w:r>
              <w:rPr>
                <w:rFonts w:ascii="Times New Roman" w:cs="Times New Roman" w:eastAsia="Times New Roman" w:hAnsi="Times New Roman"/>
                <w:b w:val="false"/>
                <w:bCs w:val="false"/>
                <w:sz w:val="20"/>
                <w:szCs w:val="20"/>
              </w:rPr>
              <w:t>7.15.0</w:t>
            </w:r>
          </w:p>
        </w:tc>
        <w:tc>
          <w:tcPr>
            <w:tcW w:w="2800" w:type="dxa"/>
            <w:tcBorders/>
            <w:tcMar>
              <w:top w:w="80" w:type="dxa"/>
              <w:left w:w="100" w:type="dxa"/>
              <w:bottom w:w="80" w:type="dxa"/>
              <w:right w:w="100" w:type="dxa"/>
            </w:tcMar>
          </w:tcPr>
          <w:p w14:paraId="B788847E">
            <w:pPr>
              <w:pStyle w:val="style0"/>
              <w:spacing w:before="80" w:after="80"/>
              <w:jc w:val="left"/>
              <w:rPr/>
            </w:pPr>
            <w:r>
              <w:rPr>
                <w:rFonts w:ascii="Times New Roman" w:cs="Times New Roman" w:eastAsia="Times New Roman" w:hAnsi="Times New Roman"/>
                <w:b w:val="false"/>
                <w:bCs w:val="false"/>
                <w:sz w:val="20"/>
                <w:szCs w:val="20"/>
              </w:rPr>
              <w:t>Client-side navigation between pages</w:t>
            </w:r>
          </w:p>
        </w:tc>
      </w:tr>
      <w:tr w14:paraId="7960ABE5">
        <w:tblPrEx/>
        <w:trPr/>
        <w:tc>
          <w:tcPr>
            <w:tcW w:w="2300" w:type="dxa"/>
            <w:tcBorders/>
            <w:tcMar>
              <w:top w:w="80" w:type="dxa"/>
              <w:left w:w="100" w:type="dxa"/>
              <w:bottom w:w="80" w:type="dxa"/>
              <w:right w:w="100" w:type="dxa"/>
            </w:tcMar>
          </w:tcPr>
          <w:p w14:paraId="3782B50F">
            <w:pPr>
              <w:pStyle w:val="style0"/>
              <w:spacing w:before="80" w:after="80"/>
              <w:jc w:val="left"/>
              <w:rPr/>
            </w:pPr>
            <w:r>
              <w:rPr>
                <w:rFonts w:ascii="Times New Roman" w:cs="Times New Roman" w:eastAsia="Times New Roman" w:hAnsi="Times New Roman"/>
                <w:b w:val="false"/>
                <w:bCs w:val="false"/>
                <w:sz w:val="20"/>
                <w:szCs w:val="20"/>
              </w:rPr>
              <w:t>WebSocket Client</w:t>
            </w:r>
          </w:p>
        </w:tc>
        <w:tc>
          <w:tcPr>
            <w:tcW w:w="2500" w:type="dxa"/>
            <w:tcBorders/>
            <w:tcMar>
              <w:top w:w="80" w:type="dxa"/>
              <w:left w:w="100" w:type="dxa"/>
              <w:bottom w:w="80" w:type="dxa"/>
              <w:right w:w="100" w:type="dxa"/>
            </w:tcMar>
          </w:tcPr>
          <w:p w14:paraId="25B6DF36">
            <w:pPr>
              <w:pStyle w:val="style0"/>
              <w:spacing w:before="80" w:after="80"/>
              <w:jc w:val="left"/>
              <w:rPr/>
            </w:pPr>
            <w:r>
              <w:rPr>
                <w:rFonts w:ascii="Times New Roman" w:cs="Times New Roman" w:eastAsia="Times New Roman" w:hAnsi="Times New Roman"/>
                <w:b w:val="false"/>
                <w:bCs w:val="false"/>
                <w:sz w:val="20"/>
                <w:szCs w:val="20"/>
              </w:rPr>
              <w:t>socket.io-client</w:t>
            </w:r>
          </w:p>
        </w:tc>
        <w:tc>
          <w:tcPr>
            <w:tcW w:w="1400" w:type="dxa"/>
            <w:tcBorders/>
            <w:tcMar>
              <w:top w:w="80" w:type="dxa"/>
              <w:left w:w="100" w:type="dxa"/>
              <w:bottom w:w="80" w:type="dxa"/>
              <w:right w:w="100" w:type="dxa"/>
            </w:tcMar>
          </w:tcPr>
          <w:p w14:paraId="03AEBE9A">
            <w:pPr>
              <w:pStyle w:val="style0"/>
              <w:spacing w:before="80" w:after="80"/>
              <w:jc w:val="left"/>
              <w:rPr/>
            </w:pPr>
            <w:r>
              <w:rPr>
                <w:rFonts w:ascii="Times New Roman" w:cs="Times New Roman" w:eastAsia="Times New Roman" w:hAnsi="Times New Roman"/>
                <w:b w:val="false"/>
                <w:bCs w:val="false"/>
                <w:sz w:val="20"/>
                <w:szCs w:val="20"/>
              </w:rPr>
              <w:t>4.8.3</w:t>
            </w:r>
          </w:p>
        </w:tc>
        <w:tc>
          <w:tcPr>
            <w:tcW w:w="2800" w:type="dxa"/>
            <w:tcBorders/>
            <w:tcMar>
              <w:top w:w="80" w:type="dxa"/>
              <w:left w:w="100" w:type="dxa"/>
              <w:bottom w:w="80" w:type="dxa"/>
              <w:right w:w="100" w:type="dxa"/>
            </w:tcMar>
          </w:tcPr>
          <w:p w14:paraId="AB8A43F5">
            <w:pPr>
              <w:pStyle w:val="style0"/>
              <w:spacing w:before="80" w:after="80"/>
              <w:jc w:val="left"/>
              <w:rPr/>
            </w:pPr>
            <w:r>
              <w:rPr>
                <w:rFonts w:ascii="Times New Roman" w:cs="Times New Roman" w:eastAsia="Times New Roman" w:hAnsi="Times New Roman"/>
                <w:b w:val="false"/>
                <w:bCs w:val="false"/>
                <w:sz w:val="20"/>
                <w:szCs w:val="20"/>
              </w:rPr>
              <w:t>Real-time GPS tracking and trip chat</w:t>
            </w:r>
          </w:p>
        </w:tc>
      </w:tr>
      <w:tr w14:paraId="399E6A6F">
        <w:tblPrEx/>
        <w:trPr/>
        <w:tc>
          <w:tcPr>
            <w:tcW w:w="2300" w:type="dxa"/>
            <w:tcBorders/>
            <w:tcMar>
              <w:top w:w="80" w:type="dxa"/>
              <w:left w:w="100" w:type="dxa"/>
              <w:bottom w:w="80" w:type="dxa"/>
              <w:right w:w="100" w:type="dxa"/>
            </w:tcMar>
          </w:tcPr>
          <w:p w14:paraId="DD83C0D8">
            <w:pPr>
              <w:pStyle w:val="style0"/>
              <w:spacing w:before="80" w:after="80"/>
              <w:jc w:val="left"/>
              <w:rPr/>
            </w:pPr>
            <w:r>
              <w:rPr>
                <w:rFonts w:ascii="Times New Roman" w:cs="Times New Roman" w:eastAsia="Times New Roman" w:hAnsi="Times New Roman"/>
                <w:b w:val="false"/>
                <w:bCs w:val="false"/>
                <w:sz w:val="20"/>
                <w:szCs w:val="20"/>
              </w:rPr>
              <w:t>Web Server</w:t>
            </w:r>
          </w:p>
        </w:tc>
        <w:tc>
          <w:tcPr>
            <w:tcW w:w="2500" w:type="dxa"/>
            <w:tcBorders/>
            <w:tcMar>
              <w:top w:w="80" w:type="dxa"/>
              <w:left w:w="100" w:type="dxa"/>
              <w:bottom w:w="80" w:type="dxa"/>
              <w:right w:w="100" w:type="dxa"/>
            </w:tcMar>
          </w:tcPr>
          <w:p w14:paraId="655A1396">
            <w:pPr>
              <w:pStyle w:val="style0"/>
              <w:spacing w:before="80" w:after="80"/>
              <w:jc w:val="left"/>
              <w:rPr/>
            </w:pPr>
            <w:r>
              <w:rPr>
                <w:rFonts w:ascii="Times New Roman" w:cs="Times New Roman" w:eastAsia="Times New Roman" w:hAnsi="Times New Roman"/>
                <w:b w:val="false"/>
                <w:bCs w:val="false"/>
                <w:sz w:val="20"/>
                <w:szCs w:val="20"/>
              </w:rPr>
              <w:t>Nginx</w:t>
            </w:r>
          </w:p>
        </w:tc>
        <w:tc>
          <w:tcPr>
            <w:tcW w:w="1400" w:type="dxa"/>
            <w:tcBorders/>
            <w:tcMar>
              <w:top w:w="80" w:type="dxa"/>
              <w:left w:w="100" w:type="dxa"/>
              <w:bottom w:w="80" w:type="dxa"/>
              <w:right w:w="100" w:type="dxa"/>
            </w:tcMar>
          </w:tcPr>
          <w:p w14:paraId="29EC62E1">
            <w:pPr>
              <w:pStyle w:val="style0"/>
              <w:spacing w:before="80" w:after="80"/>
              <w:jc w:val="left"/>
              <w:rPr/>
            </w:pPr>
            <w:r>
              <w:rPr>
                <w:rFonts w:ascii="Times New Roman" w:cs="Times New Roman" w:eastAsia="Times New Roman" w:hAnsi="Times New Roman"/>
                <w:b w:val="false"/>
                <w:bCs w:val="false"/>
                <w:sz w:val="20"/>
                <w:szCs w:val="20"/>
              </w:rPr>
              <w:t>1.24</w:t>
            </w:r>
          </w:p>
        </w:tc>
        <w:tc>
          <w:tcPr>
            <w:tcW w:w="2800" w:type="dxa"/>
            <w:tcBorders/>
            <w:tcMar>
              <w:top w:w="80" w:type="dxa"/>
              <w:left w:w="100" w:type="dxa"/>
              <w:bottom w:w="80" w:type="dxa"/>
              <w:right w:w="100" w:type="dxa"/>
            </w:tcMar>
          </w:tcPr>
          <w:p w14:paraId="5B27C48A">
            <w:pPr>
              <w:pStyle w:val="style0"/>
              <w:spacing w:before="80" w:after="80"/>
              <w:jc w:val="left"/>
              <w:rPr/>
            </w:pPr>
            <w:r>
              <w:rPr>
                <w:rFonts w:ascii="Times New Roman" w:cs="Times New Roman" w:eastAsia="Times New Roman" w:hAnsi="Times New Roman"/>
                <w:b w:val="false"/>
                <w:bCs w:val="false"/>
                <w:sz w:val="20"/>
                <w:szCs w:val="20"/>
              </w:rPr>
              <w:t>Reverse proxy and SSL termination</w:t>
            </w:r>
          </w:p>
        </w:tc>
      </w:tr>
      <w:tr w14:paraId="09CE7BFE">
        <w:tblPrEx/>
        <w:trPr/>
        <w:tc>
          <w:tcPr>
            <w:tcW w:w="2300" w:type="dxa"/>
            <w:tcBorders/>
            <w:tcMar>
              <w:top w:w="80" w:type="dxa"/>
              <w:left w:w="100" w:type="dxa"/>
              <w:bottom w:w="80" w:type="dxa"/>
              <w:right w:w="100" w:type="dxa"/>
            </w:tcMar>
          </w:tcPr>
          <w:p w14:paraId="08339244">
            <w:pPr>
              <w:pStyle w:val="style0"/>
              <w:spacing w:before="80" w:after="80"/>
              <w:jc w:val="left"/>
              <w:rPr/>
            </w:pPr>
            <w:r>
              <w:rPr>
                <w:rFonts w:ascii="Times New Roman" w:cs="Times New Roman" w:eastAsia="Times New Roman" w:hAnsi="Times New Roman"/>
                <w:b w:val="false"/>
                <w:bCs w:val="false"/>
                <w:sz w:val="20"/>
                <w:szCs w:val="20"/>
              </w:rPr>
              <w:t>SSL</w:t>
            </w:r>
          </w:p>
        </w:tc>
        <w:tc>
          <w:tcPr>
            <w:tcW w:w="2500" w:type="dxa"/>
            <w:tcBorders/>
            <w:tcMar>
              <w:top w:w="80" w:type="dxa"/>
              <w:left w:w="100" w:type="dxa"/>
              <w:bottom w:w="80" w:type="dxa"/>
              <w:right w:w="100" w:type="dxa"/>
            </w:tcMar>
          </w:tcPr>
          <w:p w14:paraId="CB7760F2">
            <w:pPr>
              <w:pStyle w:val="style0"/>
              <w:spacing w:before="80" w:after="80"/>
              <w:jc w:val="left"/>
              <w:rPr/>
            </w:pPr>
            <w:r>
              <w:rPr>
                <w:rFonts w:ascii="Times New Roman" w:cs="Times New Roman" w:eastAsia="Times New Roman" w:hAnsi="Times New Roman"/>
                <w:b w:val="false"/>
                <w:bCs w:val="false"/>
                <w:sz w:val="20"/>
                <w:szCs w:val="20"/>
              </w:rPr>
              <w:t>Let's Encrypt / Certbot</w:t>
            </w:r>
          </w:p>
        </w:tc>
        <w:tc>
          <w:tcPr>
            <w:tcW w:w="1400" w:type="dxa"/>
            <w:tcBorders/>
            <w:tcMar>
              <w:top w:w="80" w:type="dxa"/>
              <w:left w:w="100" w:type="dxa"/>
              <w:bottom w:w="80" w:type="dxa"/>
              <w:right w:w="100" w:type="dxa"/>
            </w:tcMar>
          </w:tcPr>
          <w:p w14:paraId="34E48866">
            <w:pPr>
              <w:pStyle w:val="style0"/>
              <w:spacing w:before="80" w:after="80"/>
              <w:jc w:val="left"/>
              <w:rPr/>
            </w:pPr>
            <w:r>
              <w:rPr>
                <w:rFonts w:ascii="Times New Roman" w:cs="Times New Roman" w:eastAsia="Times New Roman" w:hAnsi="Times New Roman"/>
                <w:b w:val="false"/>
                <w:bCs w:val="false"/>
                <w:sz w:val="20"/>
                <w:szCs w:val="20"/>
              </w:rPr>
              <w:t>Latest</w:t>
            </w:r>
          </w:p>
        </w:tc>
        <w:tc>
          <w:tcPr>
            <w:tcW w:w="2800" w:type="dxa"/>
            <w:tcBorders/>
            <w:tcMar>
              <w:top w:w="80" w:type="dxa"/>
              <w:left w:w="100" w:type="dxa"/>
              <w:bottom w:w="80" w:type="dxa"/>
              <w:right w:w="100" w:type="dxa"/>
            </w:tcMar>
          </w:tcPr>
          <w:p w14:paraId="7986BCF8">
            <w:pPr>
              <w:pStyle w:val="style0"/>
              <w:spacing w:before="80" w:after="80"/>
              <w:jc w:val="left"/>
              <w:rPr/>
            </w:pPr>
            <w:r>
              <w:rPr>
                <w:rFonts w:ascii="Times New Roman" w:cs="Times New Roman" w:eastAsia="Times New Roman" w:hAnsi="Times New Roman"/>
                <w:b w:val="false"/>
                <w:bCs w:val="false"/>
                <w:sz w:val="20"/>
                <w:szCs w:val="20"/>
              </w:rPr>
              <w:t>Free TLS certificates</w:t>
            </w:r>
          </w:p>
        </w:tc>
      </w:tr>
      <w:tr w14:paraId="2EC55AB5">
        <w:tblPrEx/>
        <w:trPr/>
        <w:tc>
          <w:tcPr>
            <w:tcW w:w="2300" w:type="dxa"/>
            <w:tcBorders/>
            <w:tcMar>
              <w:top w:w="80" w:type="dxa"/>
              <w:left w:w="100" w:type="dxa"/>
              <w:bottom w:w="80" w:type="dxa"/>
              <w:right w:w="100" w:type="dxa"/>
            </w:tcMar>
          </w:tcPr>
          <w:p w14:paraId="8A086AB2">
            <w:pPr>
              <w:pStyle w:val="style0"/>
              <w:spacing w:before="80" w:after="80"/>
              <w:jc w:val="left"/>
              <w:rPr/>
            </w:pPr>
            <w:r>
              <w:rPr>
                <w:rFonts w:ascii="Times New Roman" w:cs="Times New Roman" w:eastAsia="Times New Roman" w:hAnsi="Times New Roman"/>
                <w:b w:val="false"/>
                <w:bCs w:val="false"/>
                <w:sz w:val="20"/>
                <w:szCs w:val="20"/>
              </w:rPr>
              <w:t>Process Manager</w:t>
            </w:r>
          </w:p>
        </w:tc>
        <w:tc>
          <w:tcPr>
            <w:tcW w:w="2500" w:type="dxa"/>
            <w:tcBorders/>
            <w:tcMar>
              <w:top w:w="80" w:type="dxa"/>
              <w:left w:w="100" w:type="dxa"/>
              <w:bottom w:w="80" w:type="dxa"/>
              <w:right w:w="100" w:type="dxa"/>
            </w:tcMar>
          </w:tcPr>
          <w:p w14:paraId="3637124C">
            <w:pPr>
              <w:pStyle w:val="style0"/>
              <w:spacing w:before="80" w:after="80"/>
              <w:jc w:val="left"/>
              <w:rPr/>
            </w:pPr>
            <w:r>
              <w:rPr>
                <w:rFonts w:ascii="Times New Roman" w:cs="Times New Roman" w:eastAsia="Times New Roman" w:hAnsi="Times New Roman"/>
                <w:b w:val="false"/>
                <w:bCs w:val="false"/>
                <w:sz w:val="20"/>
                <w:szCs w:val="20"/>
              </w:rPr>
              <w:t>systemd</w:t>
            </w:r>
          </w:p>
        </w:tc>
        <w:tc>
          <w:tcPr>
            <w:tcW w:w="1400" w:type="dxa"/>
            <w:tcBorders/>
            <w:tcMar>
              <w:top w:w="80" w:type="dxa"/>
              <w:left w:w="100" w:type="dxa"/>
              <w:bottom w:w="80" w:type="dxa"/>
              <w:right w:w="100" w:type="dxa"/>
            </w:tcMar>
          </w:tcPr>
          <w:p w14:paraId="1D49760B">
            <w:pPr>
              <w:pStyle w:val="style0"/>
              <w:spacing w:before="80" w:after="80"/>
              <w:jc w:val="left"/>
              <w:rPr/>
            </w:pPr>
            <w:r>
              <w:rPr>
                <w:rFonts w:ascii="Times New Roman" w:cs="Times New Roman" w:eastAsia="Times New Roman" w:hAnsi="Times New Roman"/>
                <w:b w:val="false"/>
                <w:bCs w:val="false"/>
                <w:sz w:val="20"/>
                <w:szCs w:val="20"/>
              </w:rPr>
              <w:t>Ubuntu 22.04</w:t>
            </w:r>
          </w:p>
        </w:tc>
        <w:tc>
          <w:tcPr>
            <w:tcW w:w="2800" w:type="dxa"/>
            <w:tcBorders/>
            <w:tcMar>
              <w:top w:w="80" w:type="dxa"/>
              <w:left w:w="100" w:type="dxa"/>
              <w:bottom w:w="80" w:type="dxa"/>
              <w:right w:w="100" w:type="dxa"/>
            </w:tcMar>
          </w:tcPr>
          <w:p w14:paraId="A3585046">
            <w:pPr>
              <w:pStyle w:val="style0"/>
              <w:spacing w:before="80" w:after="80"/>
              <w:jc w:val="left"/>
              <w:rPr/>
            </w:pPr>
            <w:r>
              <w:rPr>
                <w:rFonts w:ascii="Times New Roman" w:cs="Times New Roman" w:eastAsia="Times New Roman" w:hAnsi="Times New Roman"/>
                <w:b w:val="false"/>
                <w:bCs w:val="false"/>
                <w:sz w:val="20"/>
                <w:szCs w:val="20"/>
              </w:rPr>
              <w:t>Service lifecycle management</w:t>
            </w:r>
          </w:p>
        </w:tc>
      </w:tr>
      <w:tr w14:paraId="1B3547CE">
        <w:tblPrEx/>
        <w:trPr/>
        <w:tc>
          <w:tcPr>
            <w:tcW w:w="2300" w:type="dxa"/>
            <w:tcBorders/>
            <w:tcMar>
              <w:top w:w="80" w:type="dxa"/>
              <w:left w:w="100" w:type="dxa"/>
              <w:bottom w:w="80" w:type="dxa"/>
              <w:right w:w="100" w:type="dxa"/>
            </w:tcMar>
          </w:tcPr>
          <w:p w14:paraId="F03EF722">
            <w:pPr>
              <w:pStyle w:val="style0"/>
              <w:spacing w:before="80" w:after="80"/>
              <w:jc w:val="left"/>
              <w:rPr/>
            </w:pPr>
            <w:r>
              <w:rPr>
                <w:rFonts w:ascii="Times New Roman" w:cs="Times New Roman" w:eastAsia="Times New Roman" w:hAnsi="Times New Roman"/>
                <w:b w:val="false"/>
                <w:bCs w:val="false"/>
                <w:sz w:val="20"/>
                <w:szCs w:val="20"/>
              </w:rPr>
              <w:t>Cloud Server</w:t>
            </w:r>
          </w:p>
        </w:tc>
        <w:tc>
          <w:tcPr>
            <w:tcW w:w="2500" w:type="dxa"/>
            <w:tcBorders/>
            <w:tcMar>
              <w:top w:w="80" w:type="dxa"/>
              <w:left w:w="100" w:type="dxa"/>
              <w:bottom w:w="80" w:type="dxa"/>
              <w:right w:w="100" w:type="dxa"/>
            </w:tcMar>
          </w:tcPr>
          <w:p w14:paraId="B747C9EB">
            <w:pPr>
              <w:pStyle w:val="style0"/>
              <w:spacing w:before="80" w:after="80"/>
              <w:jc w:val="left"/>
              <w:rPr/>
            </w:pPr>
            <w:r>
              <w:rPr>
                <w:rFonts w:ascii="Times New Roman" w:cs="Times New Roman" w:eastAsia="Times New Roman" w:hAnsi="Times New Roman"/>
                <w:b w:val="false"/>
                <w:bCs w:val="false"/>
                <w:sz w:val="20"/>
                <w:szCs w:val="20"/>
              </w:rPr>
              <w:t>DigitalOcean</w:t>
            </w:r>
          </w:p>
        </w:tc>
        <w:tc>
          <w:tcPr>
            <w:tcW w:w="1400" w:type="dxa"/>
            <w:tcBorders/>
            <w:tcMar>
              <w:top w:w="80" w:type="dxa"/>
              <w:left w:w="100" w:type="dxa"/>
              <w:bottom w:w="80" w:type="dxa"/>
              <w:right w:w="100" w:type="dxa"/>
            </w:tcMar>
          </w:tcPr>
          <w:p w14:paraId="84AA4B20">
            <w:pPr>
              <w:pStyle w:val="style0"/>
              <w:spacing w:before="80" w:after="80"/>
              <w:jc w:val="left"/>
              <w:rPr/>
            </w:pPr>
            <w:r>
              <w:rPr>
                <w:rFonts w:ascii="Times New Roman" w:cs="Times New Roman" w:eastAsia="Times New Roman" w:hAnsi="Times New Roman"/>
                <w:b w:val="false"/>
                <w:bCs w:val="false"/>
                <w:sz w:val="20"/>
                <w:szCs w:val="20"/>
              </w:rPr>
              <w:t>1GB Droplet</w:t>
            </w:r>
          </w:p>
        </w:tc>
        <w:tc>
          <w:tcPr>
            <w:tcW w:w="2800" w:type="dxa"/>
            <w:tcBorders/>
            <w:tcMar>
              <w:top w:w="80" w:type="dxa"/>
              <w:left w:w="100" w:type="dxa"/>
              <w:bottom w:w="80" w:type="dxa"/>
              <w:right w:w="100" w:type="dxa"/>
            </w:tcMar>
          </w:tcPr>
          <w:p w14:paraId="0ED562ED">
            <w:pPr>
              <w:pStyle w:val="style0"/>
              <w:spacing w:before="80" w:after="80"/>
              <w:jc w:val="left"/>
              <w:rPr/>
            </w:pPr>
            <w:r>
              <w:rPr>
                <w:rFonts w:ascii="Times New Roman" w:cs="Times New Roman" w:eastAsia="Times New Roman" w:hAnsi="Times New Roman"/>
                <w:b w:val="false"/>
                <w:bCs w:val="false"/>
                <w:sz w:val="20"/>
                <w:szCs w:val="20"/>
              </w:rPr>
              <w:t>Application and database hosting</w:t>
            </w:r>
          </w:p>
        </w:tc>
      </w:tr>
      <w:tr w14:paraId="4D4628A9">
        <w:tblPrEx/>
        <w:trPr/>
        <w:tc>
          <w:tcPr>
            <w:tcW w:w="2300" w:type="dxa"/>
            <w:tcBorders/>
            <w:tcMar>
              <w:top w:w="80" w:type="dxa"/>
              <w:left w:w="100" w:type="dxa"/>
              <w:bottom w:w="80" w:type="dxa"/>
              <w:right w:w="100" w:type="dxa"/>
            </w:tcMar>
          </w:tcPr>
          <w:p w14:paraId="30934A99">
            <w:pPr>
              <w:pStyle w:val="style0"/>
              <w:spacing w:before="80" w:after="80"/>
              <w:jc w:val="left"/>
              <w:rPr/>
            </w:pPr>
            <w:r>
              <w:rPr>
                <w:rFonts w:ascii="Times New Roman" w:cs="Times New Roman" w:eastAsia="Times New Roman" w:hAnsi="Times New Roman"/>
                <w:b w:val="false"/>
                <w:bCs w:val="false"/>
                <w:sz w:val="20"/>
                <w:szCs w:val="20"/>
              </w:rPr>
              <w:t>Frontend Hosting</w:t>
            </w:r>
          </w:p>
        </w:tc>
        <w:tc>
          <w:tcPr>
            <w:tcW w:w="2500" w:type="dxa"/>
            <w:tcBorders/>
            <w:tcMar>
              <w:top w:w="80" w:type="dxa"/>
              <w:left w:w="100" w:type="dxa"/>
              <w:bottom w:w="80" w:type="dxa"/>
              <w:right w:w="100" w:type="dxa"/>
            </w:tcMar>
          </w:tcPr>
          <w:p w14:paraId="25E719C9">
            <w:pPr>
              <w:pStyle w:val="style0"/>
              <w:spacing w:before="80" w:after="80"/>
              <w:jc w:val="left"/>
              <w:rPr/>
            </w:pPr>
            <w:r>
              <w:rPr>
                <w:rFonts w:ascii="Times New Roman" w:cs="Times New Roman" w:eastAsia="Times New Roman" w:hAnsi="Times New Roman"/>
                <w:b w:val="false"/>
                <w:bCs w:val="false"/>
                <w:sz w:val="20"/>
                <w:szCs w:val="20"/>
              </w:rPr>
              <w:t>Vercel</w:t>
            </w:r>
          </w:p>
        </w:tc>
        <w:tc>
          <w:tcPr>
            <w:tcW w:w="1400" w:type="dxa"/>
            <w:tcBorders/>
            <w:tcMar>
              <w:top w:w="80" w:type="dxa"/>
              <w:left w:w="100" w:type="dxa"/>
              <w:bottom w:w="80" w:type="dxa"/>
              <w:right w:w="100" w:type="dxa"/>
            </w:tcMar>
          </w:tcPr>
          <w:p w14:paraId="E91B130A">
            <w:pPr>
              <w:pStyle w:val="style0"/>
              <w:spacing w:before="80" w:after="80"/>
              <w:jc w:val="left"/>
              <w:rPr/>
            </w:pPr>
            <w:r>
              <w:rPr>
                <w:rFonts w:ascii="Times New Roman" w:cs="Times New Roman" w:eastAsia="Times New Roman" w:hAnsi="Times New Roman"/>
                <w:b w:val="false"/>
                <w:bCs w:val="false"/>
                <w:sz w:val="20"/>
                <w:szCs w:val="20"/>
              </w:rPr>
              <w:t>Free tier</w:t>
            </w:r>
          </w:p>
        </w:tc>
        <w:tc>
          <w:tcPr>
            <w:tcW w:w="2800" w:type="dxa"/>
            <w:tcBorders/>
            <w:tcMar>
              <w:top w:w="80" w:type="dxa"/>
              <w:left w:w="100" w:type="dxa"/>
              <w:bottom w:w="80" w:type="dxa"/>
              <w:right w:w="100" w:type="dxa"/>
            </w:tcMar>
          </w:tcPr>
          <w:p w14:paraId="3828B4D2">
            <w:pPr>
              <w:pStyle w:val="style0"/>
              <w:spacing w:before="80" w:after="80"/>
              <w:jc w:val="left"/>
              <w:rPr/>
            </w:pPr>
            <w:r>
              <w:rPr>
                <w:rFonts w:ascii="Times New Roman" w:cs="Times New Roman" w:eastAsia="Times New Roman" w:hAnsi="Times New Roman"/>
                <w:b w:val="false"/>
                <w:bCs w:val="false"/>
                <w:sz w:val="20"/>
                <w:szCs w:val="20"/>
              </w:rPr>
              <w:t>React frontend deployment and CDN</w:t>
            </w:r>
          </w:p>
        </w:tc>
      </w:tr>
      <w:tr w14:paraId="FE2A1BA9">
        <w:tblPrEx/>
        <w:trPr/>
        <w:tc>
          <w:tcPr>
            <w:tcW w:w="2300" w:type="dxa"/>
            <w:tcBorders/>
            <w:tcMar>
              <w:top w:w="80" w:type="dxa"/>
              <w:left w:w="100" w:type="dxa"/>
              <w:bottom w:w="80" w:type="dxa"/>
              <w:right w:w="100" w:type="dxa"/>
            </w:tcMar>
          </w:tcPr>
          <w:p w14:paraId="5735ED58">
            <w:pPr>
              <w:pStyle w:val="style0"/>
              <w:spacing w:before="80" w:after="80"/>
              <w:jc w:val="left"/>
              <w:rPr/>
            </w:pPr>
            <w:r>
              <w:rPr>
                <w:rFonts w:ascii="Times New Roman" w:cs="Times New Roman" w:eastAsia="Times New Roman" w:hAnsi="Times New Roman"/>
                <w:b w:val="false"/>
                <w:bCs w:val="false"/>
                <w:sz w:val="20"/>
                <w:szCs w:val="20"/>
              </w:rPr>
              <w:t>Distance API</w:t>
            </w:r>
          </w:p>
        </w:tc>
        <w:tc>
          <w:tcPr>
            <w:tcW w:w="2500" w:type="dxa"/>
            <w:tcBorders/>
            <w:tcMar>
              <w:top w:w="80" w:type="dxa"/>
              <w:left w:w="100" w:type="dxa"/>
              <w:bottom w:w="80" w:type="dxa"/>
              <w:right w:w="100" w:type="dxa"/>
            </w:tcMar>
          </w:tcPr>
          <w:p w14:paraId="3B88501D">
            <w:pPr>
              <w:pStyle w:val="style0"/>
              <w:spacing w:before="80" w:after="80"/>
              <w:jc w:val="left"/>
              <w:rPr/>
            </w:pPr>
            <w:r>
              <w:rPr>
                <w:rFonts w:ascii="Times New Roman" w:cs="Times New Roman" w:eastAsia="Times New Roman" w:hAnsi="Times New Roman"/>
                <w:b w:val="false"/>
                <w:bCs w:val="false"/>
                <w:sz w:val="20"/>
                <w:szCs w:val="20"/>
              </w:rPr>
              <w:t>Google Maps Distance Matrix</w:t>
            </w:r>
          </w:p>
        </w:tc>
        <w:tc>
          <w:tcPr>
            <w:tcW w:w="1400" w:type="dxa"/>
            <w:tcBorders/>
            <w:tcMar>
              <w:top w:w="80" w:type="dxa"/>
              <w:left w:w="100" w:type="dxa"/>
              <w:bottom w:w="80" w:type="dxa"/>
              <w:right w:w="100" w:type="dxa"/>
            </w:tcMar>
          </w:tcPr>
          <w:p w14:paraId="43FEB3B2">
            <w:pPr>
              <w:pStyle w:val="style0"/>
              <w:spacing w:before="80" w:after="80"/>
              <w:jc w:val="left"/>
              <w:rPr/>
            </w:pPr>
            <w:r>
              <w:rPr>
                <w:rFonts w:ascii="Times New Roman" w:cs="Times New Roman" w:eastAsia="Times New Roman" w:hAnsi="Times New Roman"/>
                <w:b w:val="false"/>
                <w:bCs w:val="false"/>
                <w:sz w:val="20"/>
                <w:szCs w:val="20"/>
              </w:rPr>
              <w:t>v1</w:t>
            </w:r>
          </w:p>
        </w:tc>
        <w:tc>
          <w:tcPr>
            <w:tcW w:w="2800" w:type="dxa"/>
            <w:tcBorders/>
            <w:tcMar>
              <w:top w:w="80" w:type="dxa"/>
              <w:left w:w="100" w:type="dxa"/>
              <w:bottom w:w="80" w:type="dxa"/>
              <w:right w:w="100" w:type="dxa"/>
            </w:tcMar>
          </w:tcPr>
          <w:p w14:paraId="70A4A5C1">
            <w:pPr>
              <w:pStyle w:val="style0"/>
              <w:spacing w:before="80" w:after="80"/>
              <w:jc w:val="left"/>
              <w:rPr/>
            </w:pPr>
            <w:r>
              <w:rPr>
                <w:rFonts w:ascii="Times New Roman" w:cs="Times New Roman" w:eastAsia="Times New Roman" w:hAnsi="Times New Roman"/>
                <w:b w:val="false"/>
                <w:bCs w:val="false"/>
                <w:sz w:val="20"/>
                <w:szCs w:val="20"/>
              </w:rPr>
              <w:t>Route distance enrichment (training only)</w:t>
            </w:r>
          </w:p>
        </w:tc>
      </w:tr>
      <w:tr w14:paraId="F6C27A27">
        <w:tblPrEx/>
        <w:trPr/>
        <w:tc>
          <w:tcPr>
            <w:tcW w:w="2300" w:type="dxa"/>
            <w:tcBorders/>
            <w:tcMar>
              <w:top w:w="80" w:type="dxa"/>
              <w:left w:w="100" w:type="dxa"/>
              <w:bottom w:w="80" w:type="dxa"/>
              <w:right w:w="100" w:type="dxa"/>
            </w:tcMar>
          </w:tcPr>
          <w:p w14:paraId="E4C1A82E">
            <w:pPr>
              <w:pStyle w:val="style0"/>
              <w:spacing w:before="80" w:after="80"/>
              <w:jc w:val="left"/>
              <w:rPr/>
            </w:pPr>
            <w:r>
              <w:rPr>
                <w:rFonts w:ascii="Times New Roman" w:cs="Times New Roman" w:eastAsia="Times New Roman" w:hAnsi="Times New Roman"/>
                <w:b w:val="false"/>
                <w:bCs w:val="false"/>
                <w:sz w:val="20"/>
                <w:szCs w:val="20"/>
              </w:rPr>
              <w:t>Version Control</w:t>
            </w:r>
          </w:p>
        </w:tc>
        <w:tc>
          <w:tcPr>
            <w:tcW w:w="2500" w:type="dxa"/>
            <w:tcBorders/>
            <w:tcMar>
              <w:top w:w="80" w:type="dxa"/>
              <w:left w:w="100" w:type="dxa"/>
              <w:bottom w:w="80" w:type="dxa"/>
              <w:right w:w="100" w:type="dxa"/>
            </w:tcMar>
          </w:tcPr>
          <w:p w14:paraId="3BED9645">
            <w:pPr>
              <w:pStyle w:val="style0"/>
              <w:spacing w:before="80" w:after="80"/>
              <w:jc w:val="left"/>
              <w:rPr/>
            </w:pPr>
            <w:r>
              <w:rPr>
                <w:rFonts w:ascii="Times New Roman" w:cs="Times New Roman" w:eastAsia="Times New Roman" w:hAnsi="Times New Roman"/>
                <w:b w:val="false"/>
                <w:bCs w:val="false"/>
                <w:sz w:val="20"/>
                <w:szCs w:val="20"/>
              </w:rPr>
              <w:t>Git / GitHub</w:t>
            </w:r>
          </w:p>
        </w:tc>
        <w:tc>
          <w:tcPr>
            <w:tcW w:w="1400" w:type="dxa"/>
            <w:tcBorders/>
            <w:tcMar>
              <w:top w:w="80" w:type="dxa"/>
              <w:left w:w="100" w:type="dxa"/>
              <w:bottom w:w="80" w:type="dxa"/>
              <w:right w:w="100" w:type="dxa"/>
            </w:tcMar>
          </w:tcPr>
          <w:p w14:paraId="6D89B308">
            <w:pPr>
              <w:pStyle w:val="style0"/>
              <w:spacing w:before="80" w:after="80"/>
              <w:jc w:val="left"/>
              <w:rPr/>
            </w:pPr>
            <w:r>
              <w:rPr>
                <w:rFonts w:ascii="Times New Roman" w:cs="Times New Roman" w:eastAsia="Times New Roman" w:hAnsi="Times New Roman"/>
                <w:b w:val="false"/>
                <w:bCs w:val="false"/>
                <w:sz w:val="20"/>
                <w:szCs w:val="20"/>
              </w:rPr>
              <w:t>Latest</w:t>
            </w:r>
          </w:p>
        </w:tc>
        <w:tc>
          <w:tcPr>
            <w:tcW w:w="2800" w:type="dxa"/>
            <w:tcBorders/>
            <w:tcMar>
              <w:top w:w="80" w:type="dxa"/>
              <w:left w:w="100" w:type="dxa"/>
              <w:bottom w:w="80" w:type="dxa"/>
              <w:right w:w="100" w:type="dxa"/>
            </w:tcMar>
          </w:tcPr>
          <w:p w14:paraId="0DF1B962">
            <w:pPr>
              <w:pStyle w:val="style0"/>
              <w:spacing w:before="80" w:after="80"/>
              <w:jc w:val="left"/>
              <w:rPr/>
            </w:pPr>
            <w:r>
              <w:rPr>
                <w:rFonts w:ascii="Times New Roman" w:cs="Times New Roman" w:eastAsia="Times New Roman" w:hAnsi="Times New Roman"/>
                <w:b w:val="false"/>
                <w:bCs w:val="false"/>
                <w:sz w:val="20"/>
                <w:szCs w:val="20"/>
              </w:rPr>
              <w:t>Source code management</w:t>
            </w:r>
          </w:p>
        </w:tc>
      </w:tr>
    </w:tbl>
    <w:p w14:paraId="2F37E1BE">
      <w:pPr>
        <w:pStyle w:val="style0"/>
        <w:spacing w:before="60" w:after="60"/>
        <w:rPr/>
      </w:pPr>
    </w:p>
    <w:p w14:paraId="494DA711">
      <w:pPr>
        <w:pStyle w:val="style4098"/>
        <w:spacing w:before="360" w:after="180"/>
        <w:rPr/>
      </w:pPr>
      <w:r>
        <w:t>4.3 Database Design and Implementation</w:t>
      </w:r>
    </w:p>
    <w:p w14:paraId="940A22E3">
      <w:pPr>
        <w:pStyle w:val="style0"/>
        <w:spacing w:before="120" w:after="120" w:lineRule="auto" w:line="360"/>
        <w:ind w:firstLine="720"/>
        <w:jc w:val="both"/>
        <w:rPr/>
      </w:pPr>
      <w:r>
        <w:rPr>
          <w:rFonts w:ascii="Times New Roman" w:cs="Times New Roman" w:eastAsia="Times New Roman" w:hAnsi="Times New Roman"/>
          <w:sz w:val="24"/>
          <w:szCs w:val="24"/>
        </w:rPr>
        <w:t>The system uses PostgreSQL as its primary data store, installed directly on the Ubuntu 22.04 DigitalOcean server that also hosts the FastAPI application. Running PostgreSQL on the same server as the application eliminates network latency for database queries and reduces infrastructure complexity, which is appropriate for the current scale of the system covering Akure's motor park network. PostgreSQL was selected for its strong support for UUID primary keys, enum types, timezone-aware timestamps, and its compatibility with SQLAlchemy's asyncpg driver, which enables non-blocking database operations essential for a high-concurrency FastAPI application.</w:t>
      </w:r>
    </w:p>
    <w:p w14:paraId="22AE5AE7">
      <w:pPr>
        <w:pStyle w:val="style0"/>
        <w:spacing w:before="120" w:after="120" w:lineRule="auto" w:line="360"/>
        <w:ind w:firstLine="720"/>
        <w:jc w:val="both"/>
        <w:rPr/>
      </w:pPr>
      <w:r>
        <w:rPr>
          <w:rFonts w:ascii="Times New Roman" w:cs="Times New Roman" w:eastAsia="Times New Roman" w:hAnsi="Times New Roman"/>
          <w:sz w:val="24"/>
          <w:szCs w:val="24"/>
        </w:rPr>
        <w:t>Schema management was handled through Alembic, a lightweight database migration tool for SQLAlchemy. Alembic maintains a versioned history of all schema changes, enabling reproducible deployments and safe rollbacks. All models were defined using SQLAlchemy 2.0's declarative mapped column syntax, which provides type safety through Python type annotations.</w:t>
      </w:r>
    </w:p>
    <w:p w14:paraId="C472F3AC">
      <w:pPr>
        <w:pStyle w:val="style4099"/>
        <w:spacing w:before="280" w:after="120"/>
        <w:rPr/>
      </w:pPr>
      <w:r>
        <w:t>4.3.1 Users Table</w:t>
      </w:r>
    </w:p>
    <w:p w14:paraId="0CBC9313">
      <w:pPr>
        <w:pStyle w:val="style0"/>
        <w:spacing w:before="120" w:after="120" w:lineRule="auto" w:line="360"/>
        <w:ind w:firstLine="720"/>
        <w:jc w:val="both"/>
        <w:rPr/>
      </w:pPr>
      <w:r>
        <w:rPr>
          <w:rFonts w:ascii="Times New Roman" w:cs="Times New Roman" w:eastAsia="Times New Roman" w:hAnsi="Times New Roman"/>
          <w:sz w:val="24"/>
          <w:szCs w:val="24"/>
        </w:rPr>
        <w:t>The users table extends the SQLAlchemyBaseUserTableUUID base class provided by fastapi-users, which supplies standard fields including id (UUID), email, hashed_password, is_active, is_superuser, and is_verified. The is_verified boolean field is the primary mechanism for driver account activation. When a driver registers, is_verified defaults to False. Only after the driver successfully completes the email OTP verification process does the system set is_verified to True, granting access to order-acceptance and GPS-tracking endpoints. Additional application-specific columns include first_name, last_name, phone, and role, an enum with values sender, driver, and admin.</w:t>
      </w:r>
    </w:p>
    <w:p w14:paraId="EFBFDCC1">
      <w:pPr>
        <w:pStyle w:val="style4099"/>
        <w:spacing w:before="280" w:after="120"/>
        <w:rPr/>
      </w:pPr>
      <w:r>
        <w:t>4.3.2 Orders Table</w:t>
      </w:r>
    </w:p>
    <w:p w14:paraId="EB423500">
      <w:pPr>
        <w:pStyle w:val="style0"/>
        <w:spacing w:before="120" w:after="120" w:lineRule="auto" w:line="360"/>
        <w:ind w:firstLine="720"/>
        <w:jc w:val="both"/>
        <w:rPr/>
      </w:pPr>
      <w:r>
        <w:rPr>
          <w:rFonts w:ascii="Times New Roman" w:cs="Times New Roman" w:eastAsia="Times New Roman" w:hAnsi="Times New Roman"/>
          <w:sz w:val="24"/>
          <w:szCs w:val="24"/>
        </w:rPr>
        <w:t>The orders table is the central entity of the system, recording every waybill transaction from creation through delivery. It stores package attributes (package_size and package_weight as category strings), route details including origin and destination coordinates (origin_lat, origin_lng, destination_lat, destination_lng) to support live map rendering, pricing inputs (day_of_week, is_festive_period, fuel_price_per_litre, route_risk), the ML-generated price, vehicle type, recipient information, and a status enum with six values: pending, accepted, picked_up, in_transit, delivered, and cancelled. Timestamp columns record when each status transition occurred.</w:t>
      </w:r>
    </w:p>
    <w:p w14:paraId="985C0412">
      <w:pPr>
        <w:pStyle w:val="style4099"/>
        <w:spacing w:before="280" w:after="120"/>
        <w:rPr/>
      </w:pPr>
      <w:r>
        <w:t>4.3.3 Routes Table</w:t>
      </w:r>
    </w:p>
    <w:p w14:paraId="59D3217A">
      <w:pPr>
        <w:pStyle w:val="style0"/>
        <w:spacing w:before="120" w:after="120" w:lineRule="auto" w:line="360"/>
        <w:ind w:firstLine="720"/>
        <w:jc w:val="both"/>
        <w:rPr/>
      </w:pPr>
      <w:r>
        <w:rPr>
          <w:rFonts w:ascii="Times New Roman" w:cs="Times New Roman" w:eastAsia="Times New Roman" w:hAnsi="Times New Roman"/>
          <w:sz w:val="24"/>
          <w:szCs w:val="24"/>
        </w:rPr>
        <w:t>The routes table holds preloaded motor park routes for Akure. Each record stores the origin park name, destination city, coordinates for both endpoints used by the frontend to render the tracking map, distance in kilometres, estimated travel duration in minutes, and a road risk level integer from 1 to 5. The table was seeded with 21 route pairs derived directly from the field survey data collected at the five Akure parks (Cathedral Park Akure, Ilesha garage Akure, Northgate Akure, Ondo garage Akure, and Roadblock Akure), ensuring the routes available for selection match precisely those on which the pricing model was trained.</w:t>
      </w:r>
    </w:p>
    <w:p w14:paraId="BA0E0DE2">
      <w:pPr>
        <w:pStyle w:val="style4099"/>
        <w:spacing w:before="280" w:after="120"/>
        <w:rPr/>
      </w:pPr>
      <w:r>
        <w:t>4.3.4 Pricing Records Table</w:t>
      </w:r>
    </w:p>
    <w:p w14:paraId="30E8483A">
      <w:pPr>
        <w:pStyle w:val="style0"/>
        <w:spacing w:before="120" w:after="120" w:lineRule="auto" w:line="360"/>
        <w:ind w:firstLine="720"/>
        <w:jc w:val="both"/>
        <w:rPr/>
      </w:pPr>
      <w:r>
        <w:rPr>
          <w:rFonts w:ascii="Times New Roman" w:cs="Times New Roman" w:eastAsia="Times New Roman" w:hAnsi="Times New Roman"/>
          <w:sz w:val="24"/>
          <w:szCs w:val="24"/>
        </w:rPr>
        <w:t>The pricing_records table serves as an audit log of every pricing prediction made by the system, storing the full feature vector used for each prediction alongside the resulting price and which model version (xgboost or baseline) produced it. This table supports future model retraining using production prediction data and enables the admin dashboard to display model usage analytics.</w:t>
      </w:r>
    </w:p>
    <w:p w14:paraId="5792F952">
      <w:pPr>
        <w:pStyle w:val="style4098"/>
        <w:spacing w:before="360" w:after="180"/>
        <w:rPr/>
      </w:pPr>
      <w:r>
        <w:t>4.4 Backend API Implementation</w:t>
      </w:r>
    </w:p>
    <w:p w14:paraId="76544E51">
      <w:pPr>
        <w:pStyle w:val="style0"/>
        <w:spacing w:before="120" w:after="120" w:lineRule="auto" w:line="360"/>
        <w:ind w:firstLine="720"/>
        <w:jc w:val="both"/>
        <w:rPr/>
      </w:pPr>
      <w:r>
        <w:rPr>
          <w:rFonts w:ascii="Times New Roman" w:cs="Times New Roman" w:eastAsia="Times New Roman" w:hAnsi="Times New Roman"/>
          <w:sz w:val="24"/>
          <w:szCs w:val="24"/>
        </w:rPr>
        <w:t>The backend is a Python 3.12 FastAPI application structured around six router modules: auth, orders, pricing, tracking, routes, and admin. FastAPI was selected for its native support for Python async/await, automatic OpenAPI documentation generation, Pydantic-based request validation, and first-class WebSocket support.</w:t>
      </w:r>
    </w:p>
    <w:p w14:paraId="DF7ACCDA">
      <w:pPr>
        <w:pStyle w:val="style4099"/>
        <w:spacing w:before="280" w:after="120"/>
        <w:rPr/>
      </w:pPr>
      <w:r>
        <w:t>4.4.1 Authentication and User Management</w:t>
      </w:r>
    </w:p>
    <w:p w14:paraId="E3BFB156">
      <w:pPr>
        <w:pStyle w:val="style0"/>
        <w:spacing w:before="120" w:after="120" w:lineRule="auto" w:line="360"/>
        <w:ind w:firstLine="720"/>
        <w:jc w:val="both"/>
        <w:rPr/>
      </w:pPr>
      <w:r>
        <w:rPr>
          <w:rFonts w:ascii="Times New Roman" w:cs="Times New Roman" w:eastAsia="Times New Roman" w:hAnsi="Times New Roman"/>
          <w:sz w:val="24"/>
          <w:szCs w:val="24"/>
        </w:rPr>
        <w:t>Authentication was implemented using fastapi-users, a library that provides a complete user management solution built on SQLAlchemy and integrates natively with FastAPI's dependency injection system. The library handles user registration, login, password hashing using bcrypt, and JWT token generation and validation. Three user roles were defined through a Python enum: sender, driver, and admin.</w:t>
      </w:r>
    </w:p>
    <w:p w14:paraId="7D5EE836">
      <w:pPr>
        <w:pStyle w:val="style0"/>
        <w:spacing w:before="120" w:after="120" w:lineRule="auto" w:line="360"/>
        <w:ind w:firstLine="720"/>
        <w:jc w:val="both"/>
        <w:rPr/>
      </w:pPr>
      <w:r>
        <w:rPr>
          <w:rFonts w:ascii="Times New Roman" w:cs="Times New Roman" w:eastAsia="Times New Roman" w:hAnsi="Times New Roman"/>
          <w:sz w:val="24"/>
          <w:szCs w:val="24"/>
        </w:rPr>
        <w:t>JSON Web Tokens are used for stateless authentication. Upon successful login via POST /auth/jwt/login, the system returns a bearer token with a one-hour lifetime. Role-specific route protection is implemented through custom FastAPI dependency functions (require_role and require_verified_driver) that extract the user from the JWT and validate their role and verification status before the endpoint handler executes.</w:t>
      </w:r>
    </w:p>
    <w:p w14:paraId="4B465D71">
      <w:pPr>
        <w:pStyle w:val="style4099"/>
        <w:spacing w:before="280" w:after="120"/>
        <w:rPr/>
      </w:pPr>
      <w:r>
        <w:t>4.4.2 Driver Verification via OTP</w:t>
      </w:r>
    </w:p>
    <w:p w14:paraId="FC8BDD0A">
      <w:pPr>
        <w:pStyle w:val="style0"/>
        <w:spacing w:before="120" w:after="120" w:lineRule="auto" w:line="360"/>
        <w:ind w:firstLine="720"/>
        <w:jc w:val="both"/>
        <w:rPr/>
      </w:pPr>
      <w:r>
        <w:rPr>
          <w:rFonts w:ascii="Times New Roman" w:cs="Times New Roman" w:eastAsia="Times New Roman" w:hAnsi="Times New Roman"/>
          <w:sz w:val="24"/>
          <w:szCs w:val="24"/>
        </w:rPr>
        <w:t>A two-step onboarding process was implemented specifically for drivers to address trust and accountability concerns in the informal transport sector. Upon registration with role set to driver, the system generates a six-digit one-time password, stores it in Redis with a 10-minute expiry using the SETEX command (keyed as otp:{email}), and dispatches a verification email to the driver's inbox via Gmail SMTP.</w:t>
      </w:r>
    </w:p>
    <w:p w14:paraId="45FB8005">
      <w:pPr>
        <w:pStyle w:val="style0"/>
        <w:spacing w:before="120" w:after="120" w:lineRule="auto" w:line="360"/>
        <w:ind w:firstLine="720"/>
        <w:jc w:val="both"/>
        <w:rPr/>
      </w:pPr>
      <w:r>
        <w:rPr>
          <w:rFonts w:ascii="Times New Roman" w:cs="Times New Roman" w:eastAsia="Times New Roman" w:hAnsi="Times New Roman"/>
          <w:sz w:val="24"/>
          <w:szCs w:val="24"/>
        </w:rPr>
        <w:t>The email is sent asynchronously using FastAPI's background task system, ensuring the registration response is returned immediately without waiting for SMTP completion. The driver submits the received code to POST /auth/otp/verify. If the code matches the Redis-stored value and has not expired, the is_verified field is set to True in the users table, the OTP key is deleted from Redis, and a welcome email is sent confirming account activation. Drivers with is_verified set to False are blocked from order-acceptance and GPS tracking endpoints by the require_verified_driver dependency.</w:t>
      </w:r>
    </w:p>
    <w:p w14:paraId="9C747B29">
      <w:pPr>
        <w:pStyle w:val="style4099"/>
        <w:spacing w:before="280" w:after="120"/>
        <w:rPr/>
      </w:pPr>
      <w:r>
        <w:t>4.4.3 Order Management and State Machine</w:t>
      </w:r>
    </w:p>
    <w:p w14:paraId="BA8E9D9D">
      <w:pPr>
        <w:pStyle w:val="style0"/>
        <w:spacing w:before="120" w:after="120" w:lineRule="auto" w:line="360"/>
        <w:ind w:firstLine="720"/>
        <w:jc w:val="both"/>
        <w:rPr/>
      </w:pPr>
      <w:r>
        <w:rPr>
          <w:rFonts w:ascii="Times New Roman" w:cs="Times New Roman" w:eastAsia="Times New Roman" w:hAnsi="Times New Roman"/>
          <w:sz w:val="24"/>
          <w:szCs w:val="24"/>
        </w:rPr>
        <w:t>The order lifecycle is governed by a strict state machine implemented in the order service layer. The six valid statuses and their transitions are: pending is the initial state upon creation; a verified driver transitions pending to accepted; the assigned driver marks it picked_up when collecting the parcel; in_transit when the journey begins; and delivered upon arrival. Cancellation is permitted from pending or accepted by the sender or admin. Transitions from any other state are rejected with a 400 error.</w:t>
      </w:r>
    </w:p>
    <w:p w14:paraId="E2365189">
      <w:pPr>
        <w:pStyle w:val="style0"/>
        <w:spacing w:before="120" w:after="120" w:lineRule="auto" w:line="360"/>
        <w:ind w:firstLine="720"/>
        <w:jc w:val="both"/>
        <w:rPr/>
      </w:pPr>
      <w:r>
        <w:rPr>
          <w:rFonts w:ascii="Times New Roman" w:cs="Times New Roman" w:eastAsia="Times New Roman" w:hAnsi="Times New Roman"/>
          <w:sz w:val="24"/>
          <w:szCs w:val="24"/>
        </w:rPr>
        <w:t>Each transition is validated for role appropriateness. Only the driver specifically assigned to an order may advance it through picked_up, in_transit, and delivered. Any other user attempting these transitions receives a 403 Forbidden response. On every status change, a background email task notifies the sender.</w:t>
      </w:r>
    </w:p>
    <w:p w14:paraId="22322AEF">
      <w:pPr>
        <w:pStyle w:val="style4099"/>
        <w:spacing w:before="280" w:after="120"/>
        <w:rPr/>
      </w:pPr>
      <w:r>
        <w:t>4.4.4 Route Management</w:t>
      </w:r>
    </w:p>
    <w:p w14:paraId="A7B6558D">
      <w:pPr>
        <w:pStyle w:val="style0"/>
        <w:spacing w:before="120" w:after="120" w:lineRule="auto" w:line="360"/>
        <w:ind w:firstLine="720"/>
        <w:jc w:val="both"/>
        <w:rPr/>
      </w:pPr>
      <w:r>
        <w:rPr>
          <w:rFonts w:ascii="Times New Roman" w:cs="Times New Roman" w:eastAsia="Times New Roman" w:hAnsi="Times New Roman"/>
          <w:sz w:val="24"/>
          <w:szCs w:val="24"/>
        </w:rPr>
        <w:t>The GET /routes/origins endpoint returns a distinct list of all seeded Akure park names, which the frontend uses to populate the From dropdown. The GET /routes/destinations endpoint accepts an origin query parameter and returns all destination records for that park, including coordinates and distance. This pattern restricts user selection to the 21 valid route combinations on which the model was trained, preventing predictions on routes with no training data. New routes may be added by administrators via POST /routes without code changes or redeployment.</w:t>
      </w:r>
    </w:p>
    <w:p w14:paraId="0210E141">
      <w:pPr>
        <w:pStyle w:val="style4098"/>
        <w:spacing w:before="360" w:after="180"/>
        <w:rPr/>
      </w:pPr>
      <w:r>
        <w:t>4.5 Machine Learning Pricing Engine Implementation</w:t>
      </w:r>
    </w:p>
    <w:p w14:paraId="7DF4B950">
      <w:pPr>
        <w:pStyle w:val="style4099"/>
        <w:spacing w:before="280" w:after="120"/>
        <w:rPr/>
      </w:pPr>
      <w:r>
        <w:t>4.5.1 Data Collection Methodology</w:t>
      </w:r>
    </w:p>
    <w:p w14:paraId="1AF3FBB6">
      <w:pPr>
        <w:pStyle w:val="style0"/>
        <w:spacing w:before="120" w:after="120" w:lineRule="auto" w:line="360"/>
        <w:ind w:firstLine="720"/>
        <w:jc w:val="both"/>
        <w:rPr/>
      </w:pPr>
      <w:r>
        <w:rPr>
          <w:rFonts w:ascii="Times New Roman" w:cs="Times New Roman" w:eastAsia="Times New Roman" w:hAnsi="Times New Roman"/>
          <w:sz w:val="24"/>
          <w:szCs w:val="24"/>
        </w:rPr>
        <w:t>The machine learning model was trained exclusively on real-world transaction data collected through direct field observation at five major motor parks within Akure during June 2026. The five parks surveyed were Cathedral Park Akure, Ilesha garage Akure, Northgate Akure, Ondo garage Akure, and Roadblock Akure. A field researcher attended each park during operational hours, observed parcel handover transactions as they occurred, and recorded details using a structured Google Forms data entry sheet.</w:t>
      </w:r>
    </w:p>
    <w:p w14:paraId="ACC14744">
      <w:pPr>
        <w:pStyle w:val="style0"/>
        <w:spacing w:before="120" w:after="120" w:lineRule="auto" w:line="360"/>
        <w:ind w:firstLine="720"/>
        <w:jc w:val="both"/>
        <w:rPr/>
      </w:pPr>
      <w:r>
        <w:rPr>
          <w:rFonts w:ascii="Times New Roman" w:cs="Times New Roman" w:eastAsia="Times New Roman" w:hAnsi="Times New Roman"/>
          <w:sz w:val="24"/>
          <w:szCs w:val="24"/>
        </w:rPr>
        <w:t>Two hundred complete transaction records were collected across 21 distinct origin-destination route pairs, covering eleven destination cities: Lagos, Ilesha, Ife, Ibadan, Ondo, Benin, Osogbo, Owo, Warri, Ado-Ekiti, and Abuja. The vehicle composition in the collected data reflected the actual market at Akure parks: 133 big bus transactions (66.5 percent) and 67 small car transactions (33.5 percent). Prices in the training dataset ranged from a minimum of 1,500 Naira to a maximum of 10,000 Naira, with a mean fare of approximately 5,496 Naira.</w:t>
      </w:r>
    </w:p>
    <w:p w14:paraId="5633BA60">
      <w:pPr>
        <w:pStyle w:val="style0"/>
        <w:spacing w:before="120" w:after="120" w:lineRule="auto" w:line="360"/>
        <w:ind w:firstLine="720"/>
        <w:jc w:val="both"/>
        <w:rPr/>
      </w:pPr>
      <w:r>
        <w:rPr>
          <w:rFonts w:ascii="Times New Roman" w:cs="Times New Roman" w:eastAsia="Times New Roman" w:hAnsi="Times New Roman"/>
          <w:sz w:val="24"/>
          <w:szCs w:val="24"/>
        </w:rPr>
        <w:t>Rather than requiring surveyors to carry weighing scales or tape measures, which would be impractical in a motor park environment, package weight and size were captured through intuitive categorical descriptors. Package size was recorded using five categories from envelope to extra_large, and weight using five categories from very_light to very_heavy, each defined by a relatable everyday comparison to enable consistent field assessment without instruments.</w:t>
      </w:r>
    </w:p>
    <w:p w14:paraId="92F6C402">
      <w:pPr>
        <w:pStyle w:val="style4099"/>
        <w:spacing w:before="280" w:after="120"/>
        <w:rPr/>
      </w:pPr>
      <w:r>
        <w:t>4.5.2 Feature Engineering</w:t>
      </w:r>
    </w:p>
    <w:p w14:paraId="27BEDE50">
      <w:pPr>
        <w:pStyle w:val="style0"/>
        <w:spacing w:before="120" w:after="120" w:lineRule="auto" w:line="360"/>
        <w:ind w:firstLine="720"/>
        <w:jc w:val="both"/>
        <w:rPr/>
      </w:pPr>
      <w:r>
        <w:rPr>
          <w:rFonts w:ascii="Times New Roman" w:cs="Times New Roman" w:eastAsia="Times New Roman" w:hAnsi="Times New Roman"/>
          <w:sz w:val="24"/>
          <w:szCs w:val="24"/>
        </w:rPr>
        <w:t>Raw collected data cannot be fed directly into a machine learning model because features include categorical string values that must be converted to numeric representations, and several high-signal derived features must be computed from raw inputs. This transformation is performed by the feature_engineering.py module.</w:t>
      </w:r>
    </w:p>
    <w:p w14:paraId="93CE1B06">
      <w:pPr>
        <w:pStyle w:val="style0"/>
        <w:spacing w:before="120" w:after="120" w:lineRule="auto" w:line="360"/>
        <w:ind w:firstLine="720"/>
        <w:jc w:val="both"/>
        <w:rPr/>
      </w:pPr>
      <w:r>
        <w:rPr>
          <w:rFonts w:ascii="Times New Roman" w:cs="Times New Roman" w:eastAsia="Times New Roman" w:hAnsi="Times New Roman"/>
          <w:sz w:val="24"/>
          <w:szCs w:val="24"/>
        </w:rPr>
        <w:t>The SIZE_MAP dictionary maps each package size category to its representative volume in cubic centimetres: envelope maps to 2,625, small to 30,000, medium to 70,000, large to 175,000, and extra_large to 360,000. The WEIGHT_MAP converts weight categories to representative kilogram values: very_light to 1.0, light to 3.5, medium to 10.0, heavy to 22.0, and very_heavy to 40.0. Vehicle type is encoded as a binary integer with small_car as 0 and big_bus as 1.</w:t>
      </w:r>
    </w:p>
    <w:p w14:paraId="E82AAB2C">
      <w:pPr>
        <w:pStyle w:val="style0"/>
        <w:spacing w:before="120" w:after="120" w:lineRule="auto" w:line="360"/>
        <w:ind w:firstLine="720"/>
        <w:jc w:val="both"/>
        <w:rPr/>
      </w:pPr>
      <w:r>
        <w:rPr>
          <w:rFonts w:ascii="Times New Roman" w:cs="Times New Roman" w:eastAsia="Times New Roman" w:hAnsi="Times New Roman"/>
          <w:sz w:val="24"/>
          <w:szCs w:val="24"/>
        </w:rPr>
        <w:t>Four derived features are additionally computed. The density feature (weight_kg divided by volume in cubic metres) distinguishes between a heavy compact parcel and a light bulky one of the same size category. The is_weekend boolean flags Saturday and Sunday observations, capturing the demand-driven price premium on those days. The weight_distance interaction feature captures the combined cost burden of heavy parcels on long routes. The fuel_distance interaction feature captures the sensitivity of long-haul pricing to fuel cost fluctuations. The complete set of 12 model input features is: weight_kg, volume_cm3, density, distance_km, day_of_week, is_weekend, is_festive_period, fuel_price_per_litre, vehicle_type_encoded, route_risk, weight_distance, and fuel_distance.</w:t>
      </w:r>
    </w:p>
    <w:p w14:paraId="2C390BEF">
      <w:pPr>
        <w:pStyle w:val="style4099"/>
        <w:spacing w:before="280" w:after="120"/>
        <w:rPr/>
      </w:pPr>
      <w:r>
        <w:t>4.5.3 Baseline Formula Development</w:t>
      </w:r>
    </w:p>
    <w:p w14:paraId="EB5D2359">
      <w:pPr>
        <w:pStyle w:val="style0"/>
        <w:spacing w:before="120" w:after="120" w:lineRule="auto" w:line="360"/>
        <w:ind w:firstLine="720"/>
        <w:jc w:val="both"/>
        <w:rPr/>
      </w:pPr>
      <w:r>
        <w:rPr>
          <w:rFonts w:ascii="Times New Roman" w:cs="Times New Roman" w:eastAsia="Times New Roman" w:hAnsi="Times New Roman"/>
          <w:sz w:val="24"/>
          <w:szCs w:val="24"/>
        </w:rPr>
        <w:t>Before training any machine learning model, a deterministic rule-based pricing formula was constructed from domain knowledge of the Akure waybill market. This baseline serves two purposes: it acts as the production pricing fallback if the ML model file is unavailable, and it provides a performance benchmark against which the XGBoost model must demonstrate meaningful improvement to justify its added complexity.</w:t>
      </w:r>
    </w:p>
    <w:p w14:paraId="3C9F7422">
      <w:pPr>
        <w:pStyle w:val="style0"/>
        <w:spacing w:before="120" w:after="120" w:lineRule="auto" w:line="360"/>
        <w:ind w:firstLine="720"/>
        <w:jc w:val="both"/>
        <w:rPr/>
      </w:pPr>
      <w:r>
        <w:rPr>
          <w:rFonts w:ascii="Times New Roman" w:cs="Times New Roman" w:eastAsia="Times New Roman" w:hAnsi="Times New Roman"/>
          <w:sz w:val="24"/>
          <w:szCs w:val="24"/>
        </w:rPr>
        <w:t>The baseline calculates price as the sum of a base fare, a distance cost, and a weight surcharge for parcels exceeding 5 kilograms. This subtotal is multiplied by a fuel adjustment ratio, a road risk surcharge, and demand surcharges for weekends and festive periods. A minimum price floor of 1,500 Naira is enforced. The formula is intentionally simple to represent the type of rule a motor park operator might derive from experience alone, without access to data analysis tools.</w:t>
      </w:r>
    </w:p>
    <w:p w14:paraId="ABA8EDC3">
      <w:pPr>
        <w:pStyle w:val="style4099"/>
        <w:spacing w:before="280" w:after="120"/>
        <w:rPr/>
      </w:pPr>
      <w:r>
        <w:t>4.5.4 XGBoost Model Training</w:t>
      </w:r>
    </w:p>
    <w:p w14:paraId="FB0A7A6D">
      <w:pPr>
        <w:pStyle w:val="style0"/>
        <w:spacing w:before="120" w:after="120" w:lineRule="auto" w:line="360"/>
        <w:ind w:firstLine="720"/>
        <w:jc w:val="both"/>
        <w:rPr/>
      </w:pPr>
      <w:r>
        <w:rPr>
          <w:rFonts w:ascii="Times New Roman" w:cs="Times New Roman" w:eastAsia="Times New Roman" w:hAnsi="Times New Roman"/>
          <w:sz w:val="24"/>
          <w:szCs w:val="24"/>
        </w:rPr>
        <w:t>XGBoost was selected as the primary modelling algorithm for its ability to handle non-linear relationships between features and price, heterogeneous feature scales, and the complex interaction effects common in informal pricing markets. Its regularisation parameters also provide effective control of overfitting on relatively small datasets such as the 200 records collected from Akure parks.</w:t>
      </w:r>
    </w:p>
    <w:p w14:paraId="4F85B875">
      <w:pPr>
        <w:pStyle w:val="style0"/>
        <w:spacing w:before="120" w:after="120" w:lineRule="auto" w:line="360"/>
        <w:ind w:firstLine="720"/>
        <w:jc w:val="both"/>
        <w:rPr/>
      </w:pPr>
      <w:r>
        <w:rPr>
          <w:rFonts w:ascii="Times New Roman" w:cs="Times New Roman" w:eastAsia="Times New Roman" w:hAnsi="Times New Roman"/>
          <w:sz w:val="24"/>
          <w:szCs w:val="24"/>
        </w:rPr>
        <w:t>The trained model was encapsulated within a Scikit-learn Pipeline object that applies StandardScaler preprocessing before feeding features to XGBoost. Encapsulating the scaler within the pipeline ensures that training-time normalisation parameters are applied identically at inference time, eliminating training-serving skew. The hyperparameters used were n_estimators of 200, max_depth of 6, learning_rate of 0.1, subsample of 0.8, colsample_bytree of 0.8, reg_alpha of 0.1, and reg_lambda of 1.0. Five-fold cross-validation was used with shuffle enabled and a fixed random seed of 42 for reproducibility. The serialised pipeline was saved as pricing_pipeline.joblib. At server startup, the PricingPredictor class loads this file into memory once, ensuring sub-millisecond inference latency for all subsequent requests.</w:t>
      </w:r>
    </w:p>
    <w:p w14:paraId="69B9455C">
      <w:pPr>
        <w:pStyle w:val="style4099"/>
        <w:spacing w:before="280" w:after="120"/>
        <w:rPr/>
      </w:pPr>
      <w:r>
        <w:t>4.5.5 Model Evaluation and Results</w:t>
      </w:r>
    </w:p>
    <w:p w14:paraId="49F48F75">
      <w:pPr>
        <w:pStyle w:val="style0"/>
        <w:spacing w:before="120" w:after="120" w:lineRule="auto" w:line="360"/>
        <w:ind w:firstLine="720"/>
        <w:jc w:val="both"/>
        <w:rPr/>
      </w:pPr>
      <w:r>
        <w:rPr>
          <w:rFonts w:ascii="Times New Roman" w:cs="Times New Roman" w:eastAsia="Times New Roman" w:hAnsi="Times New Roman"/>
          <w:sz w:val="24"/>
          <w:szCs w:val="24"/>
        </w:rPr>
        <w:t>Model performance was evaluated using Root Mean Squared Error (RMSE) and Mean Absolute Error (MAE). MAE is the headline metric because it is directly interpretable in Naira terms and is robust to the outlier fares present on long-distance routes such as Akure to Abuja. The evaluation results are presented in Table 4.2.</w:t>
      </w:r>
    </w:p>
    <w:p w14:paraId="00673331">
      <w:pPr>
        <w:pStyle w:val="style0"/>
        <w:spacing w:before="60" w:after="60"/>
        <w:rPr/>
      </w:pPr>
    </w:p>
    <w:p w14:paraId="83B6FC3F">
      <w:pPr>
        <w:pStyle w:val="style0"/>
        <w:spacing w:before="80" w:after="200"/>
        <w:jc w:val="center"/>
        <w:rPr/>
      </w:pPr>
      <w:r>
        <w:rPr>
          <w:rFonts w:ascii="Times New Roman" w:cs="Times New Roman" w:eastAsia="Times New Roman" w:hAnsi="Times New Roman"/>
          <w:b/>
          <w:bCs/>
          <w:i/>
          <w:iCs/>
          <w:sz w:val="22"/>
          <w:szCs w:val="22"/>
        </w:rPr>
        <w:t>Table 4.2: Pricing Model Evaluation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Pr>
      <w:tblGrid>
        <w:gridCol w:w="100"/>
        <w:gridCol w:w="100"/>
        <w:gridCol w:w="100"/>
        <w:gridCol w:w="100"/>
      </w:tblGrid>
      <w:tr w14:paraId="7C9B101A">
        <w:trPr>
          <w:tblHeader/>
        </w:trPr>
        <w:tc>
          <w:tcPr>
            <w:tcW w:w="2500" w:type="dxa"/>
            <w:tcBorders/>
            <w:shd w:val="clear" w:color="auto" w:fill="d0d0d0"/>
            <w:tcMar>
              <w:top w:w="80" w:type="dxa"/>
              <w:left w:w="100" w:type="dxa"/>
              <w:bottom w:w="80" w:type="dxa"/>
              <w:right w:w="100" w:type="dxa"/>
            </w:tcMar>
          </w:tcPr>
          <w:p w14:paraId="2ACD5177">
            <w:pPr>
              <w:pStyle w:val="style0"/>
              <w:spacing w:before="80" w:after="80"/>
              <w:jc w:val="left"/>
              <w:rPr/>
            </w:pPr>
            <w:r>
              <w:rPr>
                <w:rFonts w:ascii="Times New Roman" w:cs="Times New Roman" w:eastAsia="Times New Roman" w:hAnsi="Times New Roman"/>
                <w:b/>
                <w:bCs/>
                <w:sz w:val="20"/>
                <w:szCs w:val="20"/>
              </w:rPr>
              <w:t>Metric</w:t>
            </w:r>
          </w:p>
        </w:tc>
        <w:tc>
          <w:tcPr>
            <w:tcW w:w="2000" w:type="dxa"/>
            <w:tcBorders/>
            <w:shd w:val="clear" w:color="auto" w:fill="d0d0d0"/>
            <w:tcMar>
              <w:top w:w="80" w:type="dxa"/>
              <w:left w:w="100" w:type="dxa"/>
              <w:bottom w:w="80" w:type="dxa"/>
              <w:right w:w="100" w:type="dxa"/>
            </w:tcMar>
          </w:tcPr>
          <w:p w14:paraId="9FE8F2DA">
            <w:pPr>
              <w:pStyle w:val="style0"/>
              <w:spacing w:before="80" w:after="80"/>
              <w:jc w:val="left"/>
              <w:rPr/>
            </w:pPr>
            <w:r>
              <w:rPr>
                <w:rFonts w:ascii="Times New Roman" w:cs="Times New Roman" w:eastAsia="Times New Roman" w:hAnsi="Times New Roman"/>
                <w:b/>
                <w:bCs/>
                <w:sz w:val="20"/>
                <w:szCs w:val="20"/>
              </w:rPr>
              <w:t>XGBoost Model</w:t>
            </w:r>
          </w:p>
        </w:tc>
        <w:tc>
          <w:tcPr>
            <w:tcW w:w="2000" w:type="dxa"/>
            <w:tcBorders/>
            <w:shd w:val="clear" w:color="auto" w:fill="d0d0d0"/>
            <w:tcMar>
              <w:top w:w="80" w:type="dxa"/>
              <w:left w:w="100" w:type="dxa"/>
              <w:bottom w:w="80" w:type="dxa"/>
              <w:right w:w="100" w:type="dxa"/>
            </w:tcMar>
          </w:tcPr>
          <w:p w14:paraId="EA5BF3E2">
            <w:pPr>
              <w:pStyle w:val="style0"/>
              <w:spacing w:before="80" w:after="80"/>
              <w:jc w:val="left"/>
              <w:rPr/>
            </w:pPr>
            <w:r>
              <w:rPr>
                <w:rFonts w:ascii="Times New Roman" w:cs="Times New Roman" w:eastAsia="Times New Roman" w:hAnsi="Times New Roman"/>
                <w:b/>
                <w:bCs/>
                <w:sz w:val="20"/>
                <w:szCs w:val="20"/>
              </w:rPr>
              <w:t>Baseline Formula</w:t>
            </w:r>
          </w:p>
        </w:tc>
        <w:tc>
          <w:tcPr>
            <w:tcW w:w="2500" w:type="dxa"/>
            <w:tcBorders/>
            <w:shd w:val="clear" w:color="auto" w:fill="d0d0d0"/>
            <w:tcMar>
              <w:top w:w="80" w:type="dxa"/>
              <w:left w:w="100" w:type="dxa"/>
              <w:bottom w:w="80" w:type="dxa"/>
              <w:right w:w="100" w:type="dxa"/>
            </w:tcMar>
          </w:tcPr>
          <w:p w14:paraId="060714BE">
            <w:pPr>
              <w:pStyle w:val="style0"/>
              <w:spacing w:before="80" w:after="80"/>
              <w:jc w:val="left"/>
              <w:rPr/>
            </w:pPr>
            <w:r>
              <w:rPr>
                <w:rFonts w:ascii="Times New Roman" w:cs="Times New Roman" w:eastAsia="Times New Roman" w:hAnsi="Times New Roman"/>
                <w:b/>
                <w:bCs/>
                <w:sz w:val="20"/>
                <w:szCs w:val="20"/>
              </w:rPr>
              <w:t>Improvement</w:t>
            </w:r>
          </w:p>
        </w:tc>
      </w:tr>
      <w:tr w14:paraId="29D72456">
        <w:tblPrEx/>
        <w:trPr/>
        <w:tc>
          <w:tcPr>
            <w:tcW w:w="2500" w:type="dxa"/>
            <w:tcBorders/>
            <w:tcMar>
              <w:top w:w="80" w:type="dxa"/>
              <w:left w:w="100" w:type="dxa"/>
              <w:bottom w:w="80" w:type="dxa"/>
              <w:right w:w="100" w:type="dxa"/>
            </w:tcMar>
          </w:tcPr>
          <w:p w14:paraId="B0F4684D">
            <w:pPr>
              <w:pStyle w:val="style0"/>
              <w:spacing w:before="80" w:after="80"/>
              <w:jc w:val="left"/>
              <w:rPr/>
            </w:pPr>
            <w:r>
              <w:rPr>
                <w:rFonts w:ascii="Times New Roman" w:cs="Times New Roman" w:eastAsia="Times New Roman" w:hAnsi="Times New Roman"/>
                <w:b w:val="false"/>
                <w:bCs w:val="false"/>
                <w:sz w:val="20"/>
                <w:szCs w:val="20"/>
              </w:rPr>
              <w:t>RMSE (Naira)</w:t>
            </w:r>
          </w:p>
        </w:tc>
        <w:tc>
          <w:tcPr>
            <w:tcW w:w="2000" w:type="dxa"/>
            <w:tcBorders/>
            <w:tcMar>
              <w:top w:w="80" w:type="dxa"/>
              <w:left w:w="100" w:type="dxa"/>
              <w:bottom w:w="80" w:type="dxa"/>
              <w:right w:w="100" w:type="dxa"/>
            </w:tcMar>
          </w:tcPr>
          <w:p w14:paraId="1601679D">
            <w:pPr>
              <w:pStyle w:val="style0"/>
              <w:spacing w:before="80" w:after="80"/>
              <w:jc w:val="left"/>
              <w:rPr/>
            </w:pPr>
            <w:r>
              <w:rPr>
                <w:rFonts w:ascii="Times New Roman" w:cs="Times New Roman" w:eastAsia="Times New Roman" w:hAnsi="Times New Roman"/>
                <w:b w:val="false"/>
                <w:bCs w:val="false"/>
                <w:sz w:val="20"/>
                <w:szCs w:val="20"/>
              </w:rPr>
              <w:t>1,067.59</w:t>
            </w:r>
          </w:p>
        </w:tc>
        <w:tc>
          <w:tcPr>
            <w:tcW w:w="2000" w:type="dxa"/>
            <w:tcBorders/>
            <w:tcMar>
              <w:top w:w="80" w:type="dxa"/>
              <w:left w:w="100" w:type="dxa"/>
              <w:bottom w:w="80" w:type="dxa"/>
              <w:right w:w="100" w:type="dxa"/>
            </w:tcMar>
          </w:tcPr>
          <w:p w14:paraId="383979EB">
            <w:pPr>
              <w:pStyle w:val="style0"/>
              <w:spacing w:before="80" w:after="80"/>
              <w:jc w:val="left"/>
              <w:rPr/>
            </w:pPr>
            <w:r>
              <w:rPr>
                <w:rFonts w:ascii="Times New Roman" w:cs="Times New Roman" w:eastAsia="Times New Roman" w:hAnsi="Times New Roman"/>
                <w:b w:val="false"/>
                <w:bCs w:val="false"/>
                <w:sz w:val="20"/>
                <w:szCs w:val="20"/>
              </w:rPr>
              <w:t>2,028.16</w:t>
            </w:r>
          </w:p>
        </w:tc>
        <w:tc>
          <w:tcPr>
            <w:tcW w:w="2500" w:type="dxa"/>
            <w:tcBorders/>
            <w:tcMar>
              <w:top w:w="80" w:type="dxa"/>
              <w:left w:w="100" w:type="dxa"/>
              <w:bottom w:w="80" w:type="dxa"/>
              <w:right w:w="100" w:type="dxa"/>
            </w:tcMar>
          </w:tcPr>
          <w:p w14:paraId="6790536C">
            <w:pPr>
              <w:pStyle w:val="style0"/>
              <w:spacing w:before="80" w:after="80"/>
              <w:jc w:val="left"/>
              <w:rPr/>
            </w:pPr>
            <w:r>
              <w:rPr>
                <w:rFonts w:ascii="Times New Roman" w:cs="Times New Roman" w:eastAsia="Times New Roman" w:hAnsi="Times New Roman"/>
                <w:b w:val="false"/>
                <w:bCs w:val="false"/>
                <w:sz w:val="20"/>
                <w:szCs w:val="20"/>
              </w:rPr>
              <w:t>47.4% reduction</w:t>
            </w:r>
          </w:p>
        </w:tc>
      </w:tr>
      <w:tr w14:paraId="2FB86DF9">
        <w:tblPrEx/>
        <w:trPr/>
        <w:tc>
          <w:tcPr>
            <w:tcW w:w="2500" w:type="dxa"/>
            <w:tcBorders/>
            <w:tcMar>
              <w:top w:w="80" w:type="dxa"/>
              <w:left w:w="100" w:type="dxa"/>
              <w:bottom w:w="80" w:type="dxa"/>
              <w:right w:w="100" w:type="dxa"/>
            </w:tcMar>
          </w:tcPr>
          <w:p w14:paraId="390F6C56">
            <w:pPr>
              <w:pStyle w:val="style0"/>
              <w:spacing w:before="80" w:after="80"/>
              <w:jc w:val="left"/>
              <w:rPr/>
            </w:pPr>
            <w:r>
              <w:rPr>
                <w:rFonts w:ascii="Times New Roman" w:cs="Times New Roman" w:eastAsia="Times New Roman" w:hAnsi="Times New Roman"/>
                <w:b w:val="false"/>
                <w:bCs w:val="false"/>
                <w:sz w:val="20"/>
                <w:szCs w:val="20"/>
              </w:rPr>
              <w:t>MAE (Naira)</w:t>
            </w:r>
          </w:p>
        </w:tc>
        <w:tc>
          <w:tcPr>
            <w:tcW w:w="2000" w:type="dxa"/>
            <w:tcBorders/>
            <w:tcMar>
              <w:top w:w="80" w:type="dxa"/>
              <w:left w:w="100" w:type="dxa"/>
              <w:bottom w:w="80" w:type="dxa"/>
              <w:right w:w="100" w:type="dxa"/>
            </w:tcMar>
          </w:tcPr>
          <w:p w14:paraId="2EFCFD4F">
            <w:pPr>
              <w:pStyle w:val="style0"/>
              <w:spacing w:before="80" w:after="80"/>
              <w:jc w:val="left"/>
              <w:rPr/>
            </w:pPr>
            <w:r>
              <w:rPr>
                <w:rFonts w:ascii="Times New Roman" w:cs="Times New Roman" w:eastAsia="Times New Roman" w:hAnsi="Times New Roman"/>
                <w:b w:val="false"/>
                <w:bCs w:val="false"/>
                <w:sz w:val="20"/>
                <w:szCs w:val="20"/>
              </w:rPr>
              <w:t>807.04</w:t>
            </w:r>
          </w:p>
        </w:tc>
        <w:tc>
          <w:tcPr>
            <w:tcW w:w="2000" w:type="dxa"/>
            <w:tcBorders/>
            <w:tcMar>
              <w:top w:w="80" w:type="dxa"/>
              <w:left w:w="100" w:type="dxa"/>
              <w:bottom w:w="80" w:type="dxa"/>
              <w:right w:w="100" w:type="dxa"/>
            </w:tcMar>
          </w:tcPr>
          <w:p w14:paraId="30C6B8A3">
            <w:pPr>
              <w:pStyle w:val="style0"/>
              <w:spacing w:before="80" w:after="80"/>
              <w:jc w:val="left"/>
              <w:rPr/>
            </w:pPr>
            <w:r>
              <w:rPr>
                <w:rFonts w:ascii="Times New Roman" w:cs="Times New Roman" w:eastAsia="Times New Roman" w:hAnsi="Times New Roman"/>
                <w:b w:val="false"/>
                <w:bCs w:val="false"/>
                <w:sz w:val="20"/>
                <w:szCs w:val="20"/>
              </w:rPr>
              <w:t>1,461.13</w:t>
            </w:r>
          </w:p>
        </w:tc>
        <w:tc>
          <w:tcPr>
            <w:tcW w:w="2500" w:type="dxa"/>
            <w:tcBorders/>
            <w:tcMar>
              <w:top w:w="80" w:type="dxa"/>
              <w:left w:w="100" w:type="dxa"/>
              <w:bottom w:w="80" w:type="dxa"/>
              <w:right w:w="100" w:type="dxa"/>
            </w:tcMar>
          </w:tcPr>
          <w:p w14:paraId="CCD0DFD4">
            <w:pPr>
              <w:pStyle w:val="style0"/>
              <w:spacing w:before="80" w:after="80"/>
              <w:jc w:val="left"/>
              <w:rPr/>
            </w:pPr>
            <w:r>
              <w:rPr>
                <w:rFonts w:ascii="Times New Roman" w:cs="Times New Roman" w:eastAsia="Times New Roman" w:hAnsi="Times New Roman"/>
                <w:b w:val="false"/>
                <w:bCs w:val="false"/>
                <w:sz w:val="20"/>
                <w:szCs w:val="20"/>
              </w:rPr>
              <w:t>44.8% reduction</w:t>
            </w:r>
          </w:p>
        </w:tc>
      </w:tr>
      <w:tr w14:paraId="E7ADE442">
        <w:tblPrEx/>
        <w:trPr/>
        <w:tc>
          <w:tcPr>
            <w:tcW w:w="2500" w:type="dxa"/>
            <w:tcBorders/>
            <w:tcMar>
              <w:top w:w="80" w:type="dxa"/>
              <w:left w:w="100" w:type="dxa"/>
              <w:bottom w:w="80" w:type="dxa"/>
              <w:right w:w="100" w:type="dxa"/>
            </w:tcMar>
          </w:tcPr>
          <w:p w14:paraId="696FAB0F">
            <w:pPr>
              <w:pStyle w:val="style0"/>
              <w:spacing w:before="80" w:after="80"/>
              <w:jc w:val="left"/>
              <w:rPr/>
            </w:pPr>
            <w:r>
              <w:rPr>
                <w:rFonts w:ascii="Times New Roman" w:cs="Times New Roman" w:eastAsia="Times New Roman" w:hAnsi="Times New Roman"/>
                <w:b w:val="false"/>
                <w:bCs w:val="false"/>
                <w:sz w:val="20"/>
                <w:szCs w:val="20"/>
              </w:rPr>
              <w:t>CV RMSE (5-fold)</w:t>
            </w:r>
          </w:p>
        </w:tc>
        <w:tc>
          <w:tcPr>
            <w:tcW w:w="2000" w:type="dxa"/>
            <w:tcBorders/>
            <w:tcMar>
              <w:top w:w="80" w:type="dxa"/>
              <w:left w:w="100" w:type="dxa"/>
              <w:bottom w:w="80" w:type="dxa"/>
              <w:right w:w="100" w:type="dxa"/>
            </w:tcMar>
          </w:tcPr>
          <w:p w14:paraId="C416047B">
            <w:pPr>
              <w:pStyle w:val="style0"/>
              <w:spacing w:before="80" w:after="80"/>
              <w:jc w:val="left"/>
              <w:rPr/>
            </w:pPr>
            <w:r>
              <w:rPr>
                <w:rFonts w:ascii="Times New Roman" w:cs="Times New Roman" w:eastAsia="Times New Roman" w:hAnsi="Times New Roman"/>
                <w:b w:val="false"/>
                <w:bCs w:val="false"/>
                <w:sz w:val="20"/>
                <w:szCs w:val="20"/>
              </w:rPr>
              <w:t>1,055.11 (±162.72)</w:t>
            </w:r>
          </w:p>
        </w:tc>
        <w:tc>
          <w:tcPr>
            <w:tcW w:w="2000" w:type="dxa"/>
            <w:tcBorders/>
            <w:tcMar>
              <w:top w:w="80" w:type="dxa"/>
              <w:left w:w="100" w:type="dxa"/>
              <w:bottom w:w="80" w:type="dxa"/>
              <w:right w:w="100" w:type="dxa"/>
            </w:tcMar>
          </w:tcPr>
          <w:p w14:paraId="9066B7D3">
            <w:pPr>
              <w:pStyle w:val="style0"/>
              <w:spacing w:before="80" w:after="80"/>
              <w:jc w:val="left"/>
              <w:rPr/>
            </w:pPr>
            <w:r>
              <w:rPr>
                <w:rFonts w:ascii="Times New Roman" w:cs="Times New Roman" w:eastAsia="Times New Roman" w:hAnsi="Times New Roman"/>
                <w:b w:val="false"/>
                <w:bCs w:val="false"/>
                <w:sz w:val="20"/>
                <w:szCs w:val="20"/>
              </w:rPr>
              <w:t>N/A</w:t>
            </w:r>
          </w:p>
        </w:tc>
        <w:tc>
          <w:tcPr>
            <w:tcW w:w="2500" w:type="dxa"/>
            <w:tcBorders/>
            <w:tcMar>
              <w:top w:w="80" w:type="dxa"/>
              <w:left w:w="100" w:type="dxa"/>
              <w:bottom w:w="80" w:type="dxa"/>
              <w:right w:w="100" w:type="dxa"/>
            </w:tcMar>
          </w:tcPr>
          <w:p w14:paraId="4A25B812">
            <w:pPr>
              <w:pStyle w:val="style0"/>
              <w:spacing w:before="80" w:after="80"/>
              <w:jc w:val="left"/>
              <w:rPr/>
            </w:pPr>
            <w:r>
              <w:rPr>
                <w:rFonts w:ascii="Times New Roman" w:cs="Times New Roman" w:eastAsia="Times New Roman" w:hAnsi="Times New Roman"/>
                <w:b w:val="false"/>
                <w:bCs w:val="false"/>
                <w:sz w:val="20"/>
                <w:szCs w:val="20"/>
              </w:rPr>
              <w:t>N/A</w:t>
            </w:r>
          </w:p>
        </w:tc>
      </w:tr>
      <w:tr w14:paraId="7026682D">
        <w:tblPrEx/>
        <w:trPr/>
        <w:tc>
          <w:tcPr>
            <w:tcW w:w="2500" w:type="dxa"/>
            <w:tcBorders/>
            <w:tcMar>
              <w:top w:w="80" w:type="dxa"/>
              <w:left w:w="100" w:type="dxa"/>
              <w:bottom w:w="80" w:type="dxa"/>
              <w:right w:w="100" w:type="dxa"/>
            </w:tcMar>
          </w:tcPr>
          <w:p w14:paraId="5E3B4290">
            <w:pPr>
              <w:pStyle w:val="style0"/>
              <w:spacing w:before="80" w:after="80"/>
              <w:jc w:val="left"/>
              <w:rPr/>
            </w:pPr>
            <w:r>
              <w:rPr>
                <w:rFonts w:ascii="Times New Roman" w:cs="Times New Roman" w:eastAsia="Times New Roman" w:hAnsi="Times New Roman"/>
                <w:b w:val="false"/>
                <w:bCs w:val="false"/>
                <w:sz w:val="20"/>
                <w:szCs w:val="20"/>
              </w:rPr>
              <w:t>CV MAE (5-fold)</w:t>
            </w:r>
          </w:p>
        </w:tc>
        <w:tc>
          <w:tcPr>
            <w:tcW w:w="2000" w:type="dxa"/>
            <w:tcBorders/>
            <w:tcMar>
              <w:top w:w="80" w:type="dxa"/>
              <w:left w:w="100" w:type="dxa"/>
              <w:bottom w:w="80" w:type="dxa"/>
              <w:right w:w="100" w:type="dxa"/>
            </w:tcMar>
          </w:tcPr>
          <w:p w14:paraId="CFA35C19">
            <w:pPr>
              <w:pStyle w:val="style0"/>
              <w:spacing w:before="80" w:after="80"/>
              <w:jc w:val="left"/>
              <w:rPr/>
            </w:pPr>
            <w:r>
              <w:rPr>
                <w:rFonts w:ascii="Times New Roman" w:cs="Times New Roman" w:eastAsia="Times New Roman" w:hAnsi="Times New Roman"/>
                <w:b w:val="false"/>
                <w:bCs w:val="false"/>
                <w:sz w:val="20"/>
                <w:szCs w:val="20"/>
              </w:rPr>
              <w:t>807.04 (±124.53)</w:t>
            </w:r>
          </w:p>
        </w:tc>
        <w:tc>
          <w:tcPr>
            <w:tcW w:w="2000" w:type="dxa"/>
            <w:tcBorders/>
            <w:tcMar>
              <w:top w:w="80" w:type="dxa"/>
              <w:left w:w="100" w:type="dxa"/>
              <w:bottom w:w="80" w:type="dxa"/>
              <w:right w:w="100" w:type="dxa"/>
            </w:tcMar>
          </w:tcPr>
          <w:p w14:paraId="EB54D3E4">
            <w:pPr>
              <w:pStyle w:val="style0"/>
              <w:spacing w:before="80" w:after="80"/>
              <w:jc w:val="left"/>
              <w:rPr/>
            </w:pPr>
            <w:r>
              <w:rPr>
                <w:rFonts w:ascii="Times New Roman" w:cs="Times New Roman" w:eastAsia="Times New Roman" w:hAnsi="Times New Roman"/>
                <w:b w:val="false"/>
                <w:bCs w:val="false"/>
                <w:sz w:val="20"/>
                <w:szCs w:val="20"/>
              </w:rPr>
              <w:t>N/A</w:t>
            </w:r>
          </w:p>
        </w:tc>
        <w:tc>
          <w:tcPr>
            <w:tcW w:w="2500" w:type="dxa"/>
            <w:tcBorders/>
            <w:tcMar>
              <w:top w:w="80" w:type="dxa"/>
              <w:left w:w="100" w:type="dxa"/>
              <w:bottom w:w="80" w:type="dxa"/>
              <w:right w:w="100" w:type="dxa"/>
            </w:tcMar>
          </w:tcPr>
          <w:p w14:paraId="1D3CEA15">
            <w:pPr>
              <w:pStyle w:val="style0"/>
              <w:spacing w:before="80" w:after="80"/>
              <w:jc w:val="left"/>
              <w:rPr/>
            </w:pPr>
            <w:r>
              <w:rPr>
                <w:rFonts w:ascii="Times New Roman" w:cs="Times New Roman" w:eastAsia="Times New Roman" w:hAnsi="Times New Roman"/>
                <w:b w:val="false"/>
                <w:bCs w:val="false"/>
                <w:sz w:val="20"/>
                <w:szCs w:val="20"/>
              </w:rPr>
              <w:t>N/A</w:t>
            </w:r>
          </w:p>
        </w:tc>
      </w:tr>
      <w:tr w14:paraId="BF5A0D49">
        <w:tblPrEx/>
        <w:trPr/>
        <w:tc>
          <w:tcPr>
            <w:tcW w:w="2500" w:type="dxa"/>
            <w:tcBorders/>
            <w:tcMar>
              <w:top w:w="80" w:type="dxa"/>
              <w:left w:w="100" w:type="dxa"/>
              <w:bottom w:w="80" w:type="dxa"/>
              <w:right w:w="100" w:type="dxa"/>
            </w:tcMar>
          </w:tcPr>
          <w:p w14:paraId="7E9DE42C">
            <w:pPr>
              <w:pStyle w:val="style0"/>
              <w:spacing w:before="80" w:after="80"/>
              <w:jc w:val="left"/>
              <w:rPr/>
            </w:pPr>
            <w:r>
              <w:rPr>
                <w:rFonts w:ascii="Times New Roman" w:cs="Times New Roman" w:eastAsia="Times New Roman" w:hAnsi="Times New Roman"/>
                <w:b w:val="false"/>
                <w:bCs w:val="false"/>
                <w:sz w:val="20"/>
                <w:szCs w:val="20"/>
              </w:rPr>
              <w:t>MAE as % of mean fare</w:t>
            </w:r>
          </w:p>
        </w:tc>
        <w:tc>
          <w:tcPr>
            <w:tcW w:w="2000" w:type="dxa"/>
            <w:tcBorders/>
            <w:tcMar>
              <w:top w:w="80" w:type="dxa"/>
              <w:left w:w="100" w:type="dxa"/>
              <w:bottom w:w="80" w:type="dxa"/>
              <w:right w:w="100" w:type="dxa"/>
            </w:tcMar>
          </w:tcPr>
          <w:p w14:paraId="D773A6CC">
            <w:pPr>
              <w:pStyle w:val="style0"/>
              <w:spacing w:before="80" w:after="80"/>
              <w:jc w:val="left"/>
              <w:rPr/>
            </w:pPr>
            <w:r>
              <w:rPr>
                <w:rFonts w:ascii="Times New Roman" w:cs="Times New Roman" w:eastAsia="Times New Roman" w:hAnsi="Times New Roman"/>
                <w:b w:val="false"/>
                <w:bCs w:val="false"/>
                <w:sz w:val="20"/>
                <w:szCs w:val="20"/>
              </w:rPr>
              <w:t>14.7%</w:t>
            </w:r>
          </w:p>
        </w:tc>
        <w:tc>
          <w:tcPr>
            <w:tcW w:w="2000" w:type="dxa"/>
            <w:tcBorders/>
            <w:tcMar>
              <w:top w:w="80" w:type="dxa"/>
              <w:left w:w="100" w:type="dxa"/>
              <w:bottom w:w="80" w:type="dxa"/>
              <w:right w:w="100" w:type="dxa"/>
            </w:tcMar>
          </w:tcPr>
          <w:p w14:paraId="8D585747">
            <w:pPr>
              <w:pStyle w:val="style0"/>
              <w:spacing w:before="80" w:after="80"/>
              <w:jc w:val="left"/>
              <w:rPr/>
            </w:pPr>
            <w:r>
              <w:rPr>
                <w:rFonts w:ascii="Times New Roman" w:cs="Times New Roman" w:eastAsia="Times New Roman" w:hAnsi="Times New Roman"/>
                <w:b w:val="false"/>
                <w:bCs w:val="false"/>
                <w:sz w:val="20"/>
                <w:szCs w:val="20"/>
              </w:rPr>
              <w:t>26.6%</w:t>
            </w:r>
          </w:p>
        </w:tc>
        <w:tc>
          <w:tcPr>
            <w:tcW w:w="2500" w:type="dxa"/>
            <w:tcBorders/>
            <w:tcMar>
              <w:top w:w="80" w:type="dxa"/>
              <w:left w:w="100" w:type="dxa"/>
              <w:bottom w:w="80" w:type="dxa"/>
              <w:right w:w="100" w:type="dxa"/>
            </w:tcMar>
          </w:tcPr>
          <w:p w14:paraId="2BB52932">
            <w:pPr>
              <w:pStyle w:val="style0"/>
              <w:spacing w:before="80" w:after="80"/>
              <w:jc w:val="left"/>
              <w:rPr/>
            </w:pPr>
            <w:r>
              <w:rPr>
                <w:rFonts w:ascii="Times New Roman" w:cs="Times New Roman" w:eastAsia="Times New Roman" w:hAnsi="Times New Roman"/>
                <w:b w:val="false"/>
                <w:bCs w:val="false"/>
                <w:sz w:val="20"/>
                <w:szCs w:val="20"/>
              </w:rPr>
              <w:t>11.9 percentage points</w:t>
            </w:r>
          </w:p>
        </w:tc>
      </w:tr>
      <w:tr w14:paraId="CEF0EB97">
        <w:tblPrEx/>
        <w:trPr/>
        <w:tc>
          <w:tcPr>
            <w:tcW w:w="2500" w:type="dxa"/>
            <w:tcBorders/>
            <w:tcMar>
              <w:top w:w="80" w:type="dxa"/>
              <w:left w:w="100" w:type="dxa"/>
              <w:bottom w:w="80" w:type="dxa"/>
              <w:right w:w="100" w:type="dxa"/>
            </w:tcMar>
          </w:tcPr>
          <w:p w14:paraId="100F2228">
            <w:pPr>
              <w:pStyle w:val="style0"/>
              <w:spacing w:before="80" w:after="80"/>
              <w:jc w:val="left"/>
              <w:rPr/>
            </w:pPr>
            <w:r>
              <w:rPr>
                <w:rFonts w:ascii="Times New Roman" w:cs="Times New Roman" w:eastAsia="Times New Roman" w:hAnsi="Times New Roman"/>
                <w:b w:val="false"/>
                <w:bCs w:val="false"/>
                <w:sz w:val="20"/>
                <w:szCs w:val="20"/>
              </w:rPr>
              <w:t>Training records</w:t>
            </w:r>
          </w:p>
        </w:tc>
        <w:tc>
          <w:tcPr>
            <w:tcW w:w="2000" w:type="dxa"/>
            <w:tcBorders/>
            <w:tcMar>
              <w:top w:w="80" w:type="dxa"/>
              <w:left w:w="100" w:type="dxa"/>
              <w:bottom w:w="80" w:type="dxa"/>
              <w:right w:w="100" w:type="dxa"/>
            </w:tcMar>
          </w:tcPr>
          <w:p w14:paraId="D5D069B3">
            <w:pPr>
              <w:pStyle w:val="style0"/>
              <w:spacing w:before="80" w:after="80"/>
              <w:jc w:val="left"/>
              <w:rPr/>
            </w:pPr>
            <w:r>
              <w:rPr>
                <w:rFonts w:ascii="Times New Roman" w:cs="Times New Roman" w:eastAsia="Times New Roman" w:hAnsi="Times New Roman"/>
                <w:b w:val="false"/>
                <w:bCs w:val="false"/>
                <w:sz w:val="20"/>
                <w:szCs w:val="20"/>
              </w:rPr>
              <w:t>200</w:t>
            </w:r>
          </w:p>
        </w:tc>
        <w:tc>
          <w:tcPr>
            <w:tcW w:w="2000" w:type="dxa"/>
            <w:tcBorders/>
            <w:tcMar>
              <w:top w:w="80" w:type="dxa"/>
              <w:left w:w="100" w:type="dxa"/>
              <w:bottom w:w="80" w:type="dxa"/>
              <w:right w:w="100" w:type="dxa"/>
            </w:tcMar>
          </w:tcPr>
          <w:p w14:paraId="3DC1ABF3">
            <w:pPr>
              <w:pStyle w:val="style0"/>
              <w:spacing w:before="80" w:after="80"/>
              <w:jc w:val="left"/>
              <w:rPr/>
            </w:pPr>
            <w:r>
              <w:rPr>
                <w:rFonts w:ascii="Times New Roman" w:cs="Times New Roman" w:eastAsia="Times New Roman" w:hAnsi="Times New Roman"/>
                <w:b w:val="false"/>
                <w:bCs w:val="false"/>
                <w:sz w:val="20"/>
                <w:szCs w:val="20"/>
              </w:rPr>
              <w:t>200</w:t>
            </w:r>
          </w:p>
        </w:tc>
        <w:tc>
          <w:tcPr>
            <w:tcW w:w="2500" w:type="dxa"/>
            <w:tcBorders/>
            <w:tcMar>
              <w:top w:w="80" w:type="dxa"/>
              <w:left w:w="100" w:type="dxa"/>
              <w:bottom w:w="80" w:type="dxa"/>
              <w:right w:w="100" w:type="dxa"/>
            </w:tcMar>
          </w:tcPr>
          <w:p w14:paraId="745D9B99">
            <w:pPr>
              <w:pStyle w:val="style0"/>
              <w:spacing w:before="80" w:after="80"/>
              <w:jc w:val="left"/>
              <w:rPr/>
            </w:pPr>
            <w:r>
              <w:rPr>
                <w:rFonts w:ascii="Times New Roman" w:cs="Times New Roman" w:eastAsia="Times New Roman" w:hAnsi="Times New Roman"/>
                <w:b w:val="false"/>
                <w:bCs w:val="false"/>
                <w:sz w:val="20"/>
                <w:szCs w:val="20"/>
              </w:rPr>
              <w:t>N/A</w:t>
            </w:r>
          </w:p>
        </w:tc>
      </w:tr>
      <w:tr w14:paraId="D014B3DE">
        <w:tblPrEx/>
        <w:trPr/>
        <w:tc>
          <w:tcPr>
            <w:tcW w:w="2500" w:type="dxa"/>
            <w:tcBorders/>
            <w:tcMar>
              <w:top w:w="80" w:type="dxa"/>
              <w:left w:w="100" w:type="dxa"/>
              <w:bottom w:w="80" w:type="dxa"/>
              <w:right w:w="100" w:type="dxa"/>
            </w:tcMar>
          </w:tcPr>
          <w:p w14:paraId="8857EF91">
            <w:pPr>
              <w:pStyle w:val="style0"/>
              <w:spacing w:before="80" w:after="80"/>
              <w:jc w:val="left"/>
              <w:rPr/>
            </w:pPr>
            <w:r>
              <w:rPr>
                <w:rFonts w:ascii="Times New Roman" w:cs="Times New Roman" w:eastAsia="Times New Roman" w:hAnsi="Times New Roman"/>
                <w:b w:val="false"/>
                <w:bCs w:val="false"/>
                <w:sz w:val="20"/>
                <w:szCs w:val="20"/>
              </w:rPr>
              <w:t>Price range in data</w:t>
            </w:r>
          </w:p>
        </w:tc>
        <w:tc>
          <w:tcPr>
            <w:tcW w:w="2000" w:type="dxa"/>
            <w:tcBorders/>
            <w:tcMar>
              <w:top w:w="80" w:type="dxa"/>
              <w:left w:w="100" w:type="dxa"/>
              <w:bottom w:w="80" w:type="dxa"/>
              <w:right w:w="100" w:type="dxa"/>
            </w:tcMar>
          </w:tcPr>
          <w:p w14:paraId="7CEB172D">
            <w:pPr>
              <w:pStyle w:val="style0"/>
              <w:spacing w:before="80" w:after="80"/>
              <w:jc w:val="left"/>
              <w:rPr/>
            </w:pPr>
            <w:r>
              <w:rPr>
                <w:rFonts w:ascii="Times New Roman" w:cs="Times New Roman" w:eastAsia="Times New Roman" w:hAnsi="Times New Roman"/>
                <w:b w:val="false"/>
                <w:bCs w:val="false"/>
                <w:sz w:val="20"/>
                <w:szCs w:val="20"/>
              </w:rPr>
              <w:t>₦1,500 to ₦10,000</w:t>
            </w:r>
          </w:p>
        </w:tc>
        <w:tc>
          <w:tcPr>
            <w:tcW w:w="2000" w:type="dxa"/>
            <w:tcBorders/>
            <w:tcMar>
              <w:top w:w="80" w:type="dxa"/>
              <w:left w:w="100" w:type="dxa"/>
              <w:bottom w:w="80" w:type="dxa"/>
              <w:right w:w="100" w:type="dxa"/>
            </w:tcMar>
          </w:tcPr>
          <w:p w14:paraId="9BC26DFD">
            <w:pPr>
              <w:pStyle w:val="style0"/>
              <w:spacing w:before="80" w:after="80"/>
              <w:jc w:val="left"/>
              <w:rPr/>
            </w:pPr>
            <w:r>
              <w:rPr>
                <w:rFonts w:ascii="Times New Roman" w:cs="Times New Roman" w:eastAsia="Times New Roman" w:hAnsi="Times New Roman"/>
                <w:b w:val="false"/>
                <w:bCs w:val="false"/>
                <w:sz w:val="20"/>
                <w:szCs w:val="20"/>
              </w:rPr>
              <w:t>₦1,500 to ₦10,000</w:t>
            </w:r>
          </w:p>
        </w:tc>
        <w:tc>
          <w:tcPr>
            <w:tcW w:w="2500" w:type="dxa"/>
            <w:tcBorders/>
            <w:tcMar>
              <w:top w:w="80" w:type="dxa"/>
              <w:left w:w="100" w:type="dxa"/>
              <w:bottom w:w="80" w:type="dxa"/>
              <w:right w:w="100" w:type="dxa"/>
            </w:tcMar>
          </w:tcPr>
          <w:p w14:paraId="ABF226F5">
            <w:pPr>
              <w:pStyle w:val="style0"/>
              <w:spacing w:before="80" w:after="80"/>
              <w:jc w:val="left"/>
              <w:rPr/>
            </w:pPr>
            <w:r>
              <w:rPr>
                <w:rFonts w:ascii="Times New Roman" w:cs="Times New Roman" w:eastAsia="Times New Roman" w:hAnsi="Times New Roman"/>
                <w:b w:val="false"/>
                <w:bCs w:val="false"/>
                <w:sz w:val="20"/>
                <w:szCs w:val="20"/>
              </w:rPr>
              <w:t>N/A</w:t>
            </w:r>
          </w:p>
        </w:tc>
      </w:tr>
    </w:tbl>
    <w:p w14:paraId="95537C11">
      <w:pPr>
        <w:pStyle w:val="style0"/>
        <w:spacing w:before="60" w:after="60"/>
        <w:rPr/>
      </w:pPr>
    </w:p>
    <w:p w14:paraId="5E30274F">
      <w:pPr>
        <w:pStyle w:val="style0"/>
        <w:spacing w:before="120" w:after="120" w:lineRule="auto" w:line="360"/>
        <w:ind w:firstLine="720"/>
        <w:jc w:val="both"/>
        <w:rPr/>
      </w:pPr>
      <w:r>
        <w:rPr>
          <w:rFonts w:ascii="Times New Roman" w:cs="Times New Roman" w:eastAsia="Times New Roman" w:hAnsi="Times New Roman"/>
          <w:sz w:val="24"/>
          <w:szCs w:val="24"/>
        </w:rPr>
        <w:t>An important clarification on reading Table 4.2: the identical price range (1,500 Naira to 10,000 Naira) for both models is expected and does not indicate equivalent performance. The price range is a property of the real transaction data collected in the field, not a model output. Both models are evaluated against the same 200 real prices; what differs is how closely each model's predictions match those real prices. The XGBoost model achieves a Mean Absolute Error of 807.04 Naira, meaning its predictions deviate from actual fares by an average of 807 Naira. The baseline formula, by contrast, deviates by an average of 1,461 Naira. On a mean fare of 5,496 Naira, this translates to a prediction accuracy of 85.3 percent for the XGBoost model versus 73.4 percent for the rule-based baseline.</w:t>
      </w:r>
    </w:p>
    <w:p w14:paraId="71D68CBC">
      <w:pPr>
        <w:pStyle w:val="style0"/>
        <w:spacing w:before="120" w:after="120" w:lineRule="auto" w:line="360"/>
        <w:ind w:firstLine="720"/>
        <w:jc w:val="both"/>
        <w:rPr/>
      </w:pPr>
      <w:r>
        <w:rPr>
          <w:rFonts w:ascii="Times New Roman" w:cs="Times New Roman" w:eastAsia="Times New Roman" w:hAnsi="Times New Roman"/>
          <w:sz w:val="24"/>
          <w:szCs w:val="24"/>
        </w:rPr>
        <w:t>The 44.8 percent reduction in mean absolute error represents a practically significant improvement in pricing consistency. In absolute terms, the XGBoost model's average prediction error of 807 Naira compares favourably to the baseline formula's 1,461 Naira error on a mean transaction fare of 5,496 Naira. A sender using the system-generated price as the basis for a waybill transaction can expect the quoted fare to be within 14.7 percent of the market rate, whereas the deterministic formula alone would carry an error margin of 26.6 percent. For a market currently characterised by entirely arbitrary pricing with no standard reference whatsoever, a reduction of this magnitude represents a meaningful step toward price transparency and fairness for both senders and drivers.</w:t>
      </w:r>
    </w:p>
    <w:p w14:paraId="CF69006D">
      <w:pPr>
        <w:pStyle w:val="style0"/>
        <w:spacing w:before="120" w:after="120" w:lineRule="auto" w:line="360"/>
        <w:ind w:firstLine="720"/>
        <w:jc w:val="both"/>
        <w:rPr/>
      </w:pPr>
      <w:r>
        <w:rPr>
          <w:rFonts w:ascii="Times New Roman" w:cs="Times New Roman" w:eastAsia="Times New Roman" w:hAnsi="Times New Roman"/>
          <w:sz w:val="24"/>
          <w:szCs w:val="24"/>
        </w:rPr>
        <w:t>Feature importance analysis revealed that distance_km contributed 41.8 percent of the model's predictive power, confirming that journey distance is the dominant pricing factor. The weight_distance interaction contributed 20.4 percent and vehicle type 17.5 percent, reflecting the market reality that big bus operators charge higher rates due to greater capacity and operating costs. The is_festive_period feature contributed zero percent, as all survey records were collected in June 2026, a non-festive month. Future data collection during Christmas or Eid periods would enable the model to learn the festive price premium.</w:t>
      </w:r>
    </w:p>
    <w:p w14:paraId="0CB4A367">
      <w:pPr>
        <w:pStyle w:val="style4098"/>
        <w:spacing w:before="360" w:after="180"/>
        <w:rPr/>
      </w:pPr>
      <w:r>
        <w:t>4.6 Real-Time GPS Tracking Implementation</w:t>
      </w:r>
    </w:p>
    <w:p w14:paraId="6F784D00">
      <w:pPr>
        <w:pStyle w:val="style0"/>
        <w:spacing w:before="120" w:after="120" w:lineRule="auto" w:line="360"/>
        <w:ind w:firstLine="720"/>
        <w:jc w:val="both"/>
        <w:rPr/>
      </w:pPr>
      <w:r>
        <w:rPr>
          <w:rFonts w:ascii="Times New Roman" w:cs="Times New Roman" w:eastAsia="Times New Roman" w:hAnsi="Times New Roman"/>
          <w:sz w:val="24"/>
          <w:szCs w:val="24"/>
        </w:rPr>
        <w:t>The tracking subsystem enables senders to monitor the live location of their parcel on an interactive map throughout the delivery journey. It is built on WebSocket communication, which provides a persistent connection between the driver and server and between the server and sender, eliminating the latency and overhead of repeated HTTP polling.</w:t>
      </w:r>
    </w:p>
    <w:p w14:paraId="AAE45475">
      <w:pPr>
        <w:pStyle w:val="style4099"/>
        <w:spacing w:before="280" w:after="120"/>
        <w:rPr/>
      </w:pPr>
      <w:r>
        <w:t>4.6.1 Driver-Side GPS Collection</w:t>
      </w:r>
    </w:p>
    <w:p w14:paraId="A55F9594">
      <w:pPr>
        <w:pStyle w:val="style0"/>
        <w:spacing w:before="120" w:after="120" w:lineRule="auto" w:line="360"/>
        <w:ind w:firstLine="720"/>
        <w:jc w:val="both"/>
        <w:rPr/>
      </w:pPr>
      <w:r>
        <w:rPr>
          <w:rFonts w:ascii="Times New Roman" w:cs="Times New Roman" w:eastAsia="Times New Roman" w:hAnsi="Times New Roman"/>
          <w:sz w:val="24"/>
          <w:szCs w:val="24"/>
        </w:rPr>
        <w:t>The driver-side interface is a Progressive Web App that runs entirely in the driver's mobile browser, requiring no application installation from any app store. When a driver accepts an order and taps the Start Delivery button, the browser requests location permission through the Web Geolocation API (navigator.geolocation.watchPosition). Once granted, the browser dispatches GPS coordinates at approximately 60-second intervals to the backend via HTTP POST to the /tracking/update endpoint. The request body includes the order ID, latitude, longitude, accuracy radius, and a Unix millisecond timestamp. The endpoint is protected by the require_verified_driver dependency.</w:t>
      </w:r>
    </w:p>
    <w:p w14:paraId="FB6613F8">
      <w:pPr>
        <w:pStyle w:val="style4099"/>
        <w:spacing w:before="280" w:after="120"/>
        <w:rPr/>
      </w:pPr>
      <w:r>
        <w:t>4.6.2 WebSocket Manager and In-Memory Storage</w:t>
      </w:r>
    </w:p>
    <w:p w14:paraId="B64A12DB">
      <w:pPr>
        <w:pStyle w:val="style0"/>
        <w:spacing w:before="120" w:after="120" w:lineRule="auto" w:line="360"/>
        <w:ind w:firstLine="720"/>
        <w:jc w:val="both"/>
        <w:rPr/>
      </w:pPr>
      <w:r>
        <w:rPr>
          <w:rFonts w:ascii="Times New Roman" w:cs="Times New Roman" w:eastAsia="Times New Roman" w:hAnsi="Times New Roman"/>
          <w:sz w:val="24"/>
          <w:szCs w:val="24"/>
        </w:rPr>
        <w:t>The TrackingManager class maintains two in-memory dictionaries: active_connections, mapping order IDs to lists of connected sender WebSocket objects, and latest_positions, mapping order IDs to the most recently received GPS payload. Live coordinates are stored only in memory and never written to the database. This decision eliminates database write overhead for high-frequency ephemeral data; a typical 90-minute Akure-to-Lagos delivery would generate approximately 90 GPS records of zero long-term value. When a sender connects mid-journey, the latest_positions dictionary ensures they receive the current driver position immediately rather than waiting up to 60 seconds for the next update cycle.</w:t>
      </w:r>
    </w:p>
    <w:p w14:paraId="D155D846">
      <w:pPr>
        <w:pStyle w:val="style4099"/>
        <w:spacing w:before="280" w:after="120"/>
        <w:rPr/>
      </w:pPr>
      <w:r>
        <w:t>4.6.3 Sender-Side Map Display</w:t>
      </w:r>
    </w:p>
    <w:p w14:paraId="8527383A">
      <w:pPr>
        <w:pStyle w:val="style0"/>
        <w:spacing w:before="120" w:after="120" w:lineRule="auto" w:line="360"/>
        <w:ind w:firstLine="720"/>
        <w:jc w:val="both"/>
        <w:rPr/>
      </w:pPr>
      <w:r>
        <w:rPr>
          <w:rFonts w:ascii="Times New Roman" w:cs="Times New Roman" w:eastAsia="Times New Roman" w:hAnsi="Times New Roman"/>
          <w:sz w:val="24"/>
          <w:szCs w:val="24"/>
        </w:rPr>
        <w:t>The sender's tracking page renders an interactive map using React Leaflet 5 with OpenStreetMap tiles. Three visual elements are displayed: a green marker at the origin park, a red marker at the destination, and a moving blue marker representing the driver's current location. The road route polyline between origin and destination is fetched once from the OSRM public routing API when the page loads and rendered as a static Polyline component. The driver marker updates its position on each incoming WebSocket message. Coordinate data for both the origin and destination is embedded in the order response (origin_lat, origin_lng, destination_lat, destination_lng), eliminating any additional lookup when the tracking page is opened.</w:t>
      </w:r>
    </w:p>
    <w:p w14:paraId="25BFF35F">
      <w:pPr>
        <w:pStyle w:val="style4098"/>
        <w:spacing w:before="360" w:after="180"/>
        <w:rPr/>
      </w:pPr>
      <w:r>
        <w:t>4.7 Trip Chat Implementation</w:t>
      </w:r>
    </w:p>
    <w:p w14:paraId="C853A4E5">
      <w:pPr>
        <w:pStyle w:val="style0"/>
        <w:spacing w:before="120" w:after="120" w:lineRule="auto" w:line="360"/>
        <w:ind w:firstLine="720"/>
        <w:jc w:val="both"/>
        <w:rPr/>
      </w:pPr>
      <w:r>
        <w:rPr>
          <w:rFonts w:ascii="Times New Roman" w:cs="Times New Roman" w:eastAsia="Times New Roman" w:hAnsi="Times New Roman"/>
          <w:sz w:val="24"/>
          <w:szCs w:val="24"/>
        </w:rPr>
        <w:t>A real-time bidirectional messaging feature was implemented to allow the sender and driver to communicate during an active delivery without exchanging personal phone numbers. The frontend uses socket.io-client for WebSocket connectivity, while the backend exposes the chat endpoint at /tracking/chat/{order_id}?token=JWT_TOKEN. JWT authentication via query parameter is necessary because the WebSocket protocol does not support custom headers in browser environments; the token is decoded on the server side using python-jose before the connection is accepted.</w:t>
      </w:r>
    </w:p>
    <w:p w14:paraId="785AFC94">
      <w:pPr>
        <w:pStyle w:val="style0"/>
        <w:spacing w:before="120" w:after="120" w:lineRule="auto" w:line="360"/>
        <w:ind w:firstLine="720"/>
        <w:jc w:val="both"/>
        <w:rPr/>
      </w:pPr>
      <w:r>
        <w:rPr>
          <w:rFonts w:ascii="Times New Roman" w:cs="Times New Roman" w:eastAsia="Times New Roman" w:hAnsi="Times New Roman"/>
          <w:sz w:val="24"/>
          <w:szCs w:val="24"/>
        </w:rPr>
        <w:t>Chat is restricted to the specific sender and assigned driver of each order. The session is further restricted to orders with status accepted, picked_up, or in_transit. When an order reaches delivered or cancelled, the server broadcasts a chat_closed message to all connected participants and terminates the connections. Chat history for an active trip is maintained in memory within the TrackingManager and transmitted to any participant who connects mid-trip, ensuring context is preserved across brief disconnections. All chat data is cleared from memory when the order reaches terminal status.</w:t>
      </w:r>
    </w:p>
    <w:p w14:paraId="3B22177C">
      <w:pPr>
        <w:pStyle w:val="style4098"/>
        <w:spacing w:before="360" w:after="180"/>
        <w:rPr/>
      </w:pPr>
      <w:r>
        <w:t>4.8 Frontend Implementation</w:t>
      </w:r>
    </w:p>
    <w:p w14:paraId="0FB99358">
      <w:pPr>
        <w:pStyle w:val="style0"/>
        <w:spacing w:before="120" w:after="120" w:lineRule="auto" w:line="360"/>
        <w:ind w:firstLine="720"/>
        <w:jc w:val="both"/>
        <w:rPr/>
      </w:pPr>
      <w:r>
        <w:rPr>
          <w:rFonts w:ascii="Times New Roman" w:cs="Times New Roman" w:eastAsia="Times New Roman" w:hAnsi="Times New Roman"/>
          <w:sz w:val="24"/>
          <w:szCs w:val="24"/>
        </w:rPr>
        <w:t>The frontend is a single-page application built with React 19.2.5, TypeScript 6.0.2, and Vite 8.0.10, deployed to Vercel at https://delivery-app-3o49.vercel.app. TypeScript was selected to provide compile-time type safety across API response shapes, WebSocket message payloads, and map coordinate systems. Vite was chosen as the build tool for its fast hot module replacement during development and optimised production bundle output.</w:t>
      </w:r>
    </w:p>
    <w:p w14:paraId="047B83F9">
      <w:pPr>
        <w:pStyle w:val="style0"/>
        <w:spacing w:before="120" w:after="120" w:lineRule="auto" w:line="360"/>
        <w:ind w:firstLine="720"/>
        <w:jc w:val="both"/>
        <w:rPr/>
      </w:pPr>
      <w:r>
        <w:rPr>
          <w:rFonts w:ascii="Times New Roman" w:cs="Times New Roman" w:eastAsia="Times New Roman" w:hAnsi="Times New Roman"/>
          <w:sz w:val="24"/>
          <w:szCs w:val="24"/>
        </w:rPr>
        <w:t>Zustand 5.0.13 manages global client-side state, including the authenticated user's profile, role, and JWT token. Zustand was preferred over more heavyweight alternatives for its minimal boilerplate and direct compatibility with React 19's concurrent features. Axios 1.16.0 handles all HTTP requests to the backend REST API, providing a consistent interface for request interceptors that attach the JWT bearer token to authenticated calls.</w:t>
      </w:r>
    </w:p>
    <w:p w14:paraId="DF940358">
      <w:pPr>
        <w:pStyle w:val="style0"/>
        <w:spacing w:before="120" w:after="120" w:lineRule="auto" w:line="360"/>
        <w:ind w:firstLine="720"/>
        <w:jc w:val="both"/>
        <w:rPr/>
      </w:pPr>
      <w:r>
        <w:rPr>
          <w:rFonts w:ascii="Times New Roman" w:cs="Times New Roman" w:eastAsia="Times New Roman" w:hAnsi="Times New Roman"/>
          <w:sz w:val="24"/>
          <w:szCs w:val="24"/>
        </w:rPr>
        <w:t>React Router DOM 7.15.0 handles client-side navigation between the sender, driver, and admin interfaces. Three distinct interface contexts are served from the same application depending on the authenticated user's role. The sender interface exposes the quick quote form, order creation flow, order tracking page with live map, and order history. The driver interface presents available pending orders, order management with GPS tracking controls, and the trip chat panel. The admin interface renders the dashboard with Recharts 3.8.1 charts showing order volume over time and route activity rankings, alongside driver verification management tools.</w:t>
      </w:r>
    </w:p>
    <w:p w14:paraId="15FE1FB1">
      <w:pPr>
        <w:pStyle w:val="style0"/>
        <w:spacing w:before="120" w:after="120" w:lineRule="auto" w:line="360"/>
        <w:ind w:firstLine="720"/>
        <w:jc w:val="both"/>
        <w:rPr/>
      </w:pPr>
      <w:r>
        <w:rPr>
          <w:rFonts w:ascii="Times New Roman" w:cs="Times New Roman" w:eastAsia="Times New Roman" w:hAnsi="Times New Roman"/>
          <w:sz w:val="24"/>
          <w:szCs w:val="24"/>
        </w:rPr>
        <w:t>The live tracking map uses React Leaflet 5 with OpenStreetMap for the sender-facing delivery tracker, providing free tile access with no API billing risk. The admin interface additionally integrates @react-google-maps/api 2.20.8 for route visualisation in the administrative view. Real-time communication with both the GPS tracking WebSocket and the trip chat WebSocket is handled through socket.io-client 4.8.3, which provides automatic reconnection handling and event-based message routing in a familiar API.</w:t>
      </w:r>
    </w:p>
    <w:p w14:paraId="983F8C4C">
      <w:pPr>
        <w:pStyle w:val="style0"/>
        <w:spacing w:before="120" w:after="120" w:lineRule="auto" w:line="360"/>
        <w:ind w:firstLine="720"/>
        <w:jc w:val="both"/>
        <w:rPr/>
      </w:pPr>
      <w:r>
        <w:rPr>
          <w:rFonts w:ascii="Times New Roman" w:cs="Times New Roman" w:eastAsia="Times New Roman" w:hAnsi="Times New Roman"/>
          <w:sz w:val="24"/>
          <w:szCs w:val="24"/>
        </w:rPr>
        <w:t>The quick quote feature is intentionally accessible without login. A sender enters origin park, destination, package size and weight categories, and vehicle type, and receives an instant price estimate with distance and estimated journey time. If satisfied, they are prompted to register or log in to proceed to full order creation. This reduces friction for first-time users assessing whether the platform serves their route before committing to account creation.</w:t>
      </w:r>
    </w:p>
    <w:p w14:paraId="ACD63651">
      <w:pPr>
        <w:pStyle w:val="style4098"/>
        <w:spacing w:before="360" w:after="180"/>
        <w:rPr/>
      </w:pPr>
      <w:r>
        <w:t>4.9 Deployment and Infrastructure</w:t>
      </w:r>
    </w:p>
    <w:p w14:paraId="B627D550">
      <w:pPr>
        <w:pStyle w:val="style0"/>
        <w:spacing w:before="120" w:after="120" w:lineRule="auto" w:line="360"/>
        <w:ind w:firstLine="720"/>
        <w:jc w:val="both"/>
        <w:rPr/>
      </w:pPr>
      <w:r>
        <w:rPr>
          <w:rFonts w:ascii="Times New Roman" w:cs="Times New Roman" w:eastAsia="Times New Roman" w:hAnsi="Times New Roman"/>
          <w:sz w:val="24"/>
          <w:szCs w:val="24"/>
        </w:rPr>
        <w:t>The complete system was deployed to production infrastructure prior to evaluation, enabling end-to-end testing under real network conditions. The backend runs on a DigitalOcean Ubuntu 22.04 droplet, co-located with the PostgreSQL 15 database server. The application is managed as a systemd service that automatically restarts on failure and at system boot. The service executes Uvicorn, an ASGI server, bound to localhost on port 8000.</w:t>
      </w:r>
    </w:p>
    <w:p w14:paraId="5F4F5A39">
      <w:pPr>
        <w:pStyle w:val="style0"/>
        <w:spacing w:before="120" w:after="120" w:lineRule="auto" w:line="360"/>
        <w:ind w:firstLine="720"/>
        <w:jc w:val="both"/>
        <w:rPr/>
      </w:pPr>
      <w:r>
        <w:rPr>
          <w:rFonts w:ascii="Times New Roman" w:cs="Times New Roman" w:eastAsia="Times New Roman" w:hAnsi="Times New Roman"/>
          <w:sz w:val="24"/>
          <w:szCs w:val="24"/>
        </w:rPr>
        <w:t>Nginx serves as the reverse proxy layer, forwarding incoming HTTPS requests on port 443 to the Uvicorn process. The Nginx configuration includes dedicated location blocks for the two WebSocket endpoints (/tracking/ws/ and /tracking/chat/) that set the Upgrade and Connection headers required for the HTTP-to-WebSocket protocol upgrade. Without these headers, WebSocket handshakes would be rejected at the proxy layer before reaching the application. Proxy read and send timeouts for WebSocket locations are set to 3,600 seconds to accommodate long-running GPS tracking sessions on routes such as Akure to Abuja.</w:t>
      </w:r>
    </w:p>
    <w:p w14:paraId="6136C206">
      <w:pPr>
        <w:pStyle w:val="style0"/>
        <w:spacing w:before="120" w:after="120" w:lineRule="auto" w:line="360"/>
        <w:ind w:firstLine="720"/>
        <w:jc w:val="both"/>
        <w:rPr/>
      </w:pPr>
      <w:r>
        <w:rPr>
          <w:rFonts w:ascii="Times New Roman" w:cs="Times New Roman" w:eastAsia="Times New Roman" w:hAnsi="Times New Roman"/>
          <w:sz w:val="24"/>
          <w:szCs w:val="24"/>
        </w:rPr>
        <w:t>TLS certificates were issued by Let's Encrypt via Certbot and are automatically renewed by a systemd timer. The domain sendrun.duckdns.org was registered through DuckDNS, a free dynamic DNS service, with its A record pointing to the server's public IP. HTTP requests are permanently redirected to HTTPS by the port-80 server block. The frontend React application is hosted on Vercel's free tier and is accessible at https://delivery-app-3o49.vercel.app, with automatic deployments triggered by pushes to the main GitHub branch. Frontend environment variables configure the API and WebSocket base URLs to use the HTTPS and WSS schemes required by the production domain.</w:t>
      </w:r>
    </w:p>
    <w:p w14:paraId="76DE7969">
      <w:pPr>
        <w:pStyle w:val="style0"/>
        <w:spacing w:before="120" w:after="120" w:lineRule="auto" w:line="360"/>
        <w:ind w:firstLine="720"/>
        <w:jc w:val="both"/>
        <w:rPr/>
      </w:pPr>
      <w:r>
        <w:rPr>
          <w:rFonts w:ascii="Times New Roman" w:cs="Times New Roman" w:eastAsia="Times New Roman" w:hAnsi="Times New Roman"/>
          <w:sz w:val="24"/>
          <w:szCs w:val="24"/>
        </w:rPr>
        <w:t>The total recurring infrastructure cost of the deployed system is zero Naira. All components (DigitalOcean trial credit, Vercel free tier, Redis Cloud free tier, DuckDNS, and Let's Encrypt) operate within free service tiers appropriate for a project of this scale. This cost profile makes the system viable for continued operation beyond the academic submission period without institutional funding, and provides a feasible commercialisation baseline if Akure transport authorities were to adopt the platform.</w:t>
      </w:r>
    </w:p>
    <w:p w14:paraId="F1B264CE">
      <w:pPr>
        <w:pStyle w:val="style4098"/>
        <w:spacing w:before="360" w:after="180"/>
        <w:rPr/>
      </w:pPr>
      <w:r>
        <w:t>4.10 System Testing</w:t>
      </w:r>
    </w:p>
    <w:p w14:paraId="22C75BBC">
      <w:pPr>
        <w:pStyle w:val="style0"/>
        <w:spacing w:before="120" w:after="120" w:lineRule="auto" w:line="360"/>
        <w:ind w:firstLine="720"/>
        <w:jc w:val="both"/>
        <w:rPr/>
      </w:pPr>
      <w:r>
        <w:rPr>
          <w:rFonts w:ascii="Times New Roman" w:cs="Times New Roman" w:eastAsia="Times New Roman" w:hAnsi="Times New Roman"/>
          <w:sz w:val="24"/>
          <w:szCs w:val="24"/>
        </w:rPr>
        <w:t>System testing was conducted at three levels: endpoint-level testing of all REST API routes, integration testing of the ML pipeline against field survey data, and end-to-end functional testing of complete user journeys through the deployed system.</w:t>
      </w:r>
    </w:p>
    <w:p w14:paraId="4E37AD05">
      <w:pPr>
        <w:pStyle w:val="style0"/>
        <w:spacing w:before="120" w:after="120" w:lineRule="auto" w:line="360"/>
        <w:ind w:firstLine="720"/>
        <w:jc w:val="both"/>
        <w:rPr/>
      </w:pPr>
      <w:r>
        <w:rPr>
          <w:rFonts w:ascii="Times New Roman" w:cs="Times New Roman" w:eastAsia="Times New Roman" w:hAnsi="Times New Roman"/>
          <w:sz w:val="24"/>
          <w:szCs w:val="24"/>
        </w:rPr>
        <w:t>All 19 REST API endpoints were tested for correct HTTP status codes, response body structure, authentication enforcement, and role-based access control. The driver OTP verification flow was tested by registering a driver account, checking the Gmail inbox for the OTP, and submitting it to the verify endpoint, confirming that is_verified was set to True in the database and that the driver could thereafter access the available orders endpoint. WebSocket endpoints were tested using the wscat command-line tool, simulating a driver submitting GPS coordinates via HTTP POST while a sender simultaneously listened on the tracking WebSocket, verifying that broadcasts were received within the expected latency window.</w:t>
      </w:r>
    </w:p>
    <w:p w14:paraId="3DCBD042">
      <w:pPr>
        <w:pStyle w:val="style0"/>
        <w:spacing w:before="120" w:after="120" w:lineRule="auto" w:line="360"/>
        <w:ind w:firstLine="720"/>
        <w:jc w:val="both"/>
        <w:rPr/>
      </w:pPr>
      <w:r>
        <w:rPr>
          <w:rFonts w:ascii="Times New Roman" w:cs="Times New Roman" w:eastAsia="Times New Roman" w:hAnsi="Times New Roman"/>
          <w:sz w:val="24"/>
          <w:szCs w:val="24"/>
        </w:rPr>
        <w:t>The ML pipeline was tested by running the training script against the 200-record field survey CSV and verifying metric reproducibility across multiple runs with the same random seed. Prediction ordering was validated by systematically varying a single input feature while holding all others constant, confirming that heavier packages consistently predict higher prices and longer routes consistently predict higher fares across all size and weight category combinations.</w:t>
      </w:r>
    </w:p>
    <w:p w14:paraId="C26FB670">
      <w:pPr>
        <w:pStyle w:val="style0"/>
        <w:spacing w:before="120" w:after="120" w:lineRule="auto" w:line="360"/>
        <w:ind w:firstLine="720"/>
        <w:jc w:val="both"/>
        <w:rPr/>
      </w:pPr>
      <w:r>
        <w:rPr>
          <w:rFonts w:ascii="Times New Roman" w:cs="Times New Roman" w:eastAsia="Times New Roman" w:hAnsi="Times New Roman"/>
          <w:sz w:val="24"/>
          <w:szCs w:val="24"/>
        </w:rPr>
        <w:t>End-to-end functional testing followed the complete order lifecycle from a sender's price estimate through driver GPS tracking and delivery confirmation, verifying email notifications at each status change and confirming that the live tracking map updated correctly as GPS coordinates were submitted.</w:t>
      </w:r>
    </w:p>
    <w:p w14:paraId="4A2D7DC2">
      <w:pPr>
        <w:pStyle w:val="style4098"/>
        <w:spacing w:before="360" w:after="180"/>
        <w:rPr/>
      </w:pPr>
      <w:r>
        <w:t>4.11 Summary of Results</w:t>
      </w:r>
    </w:p>
    <w:p w14:paraId="F5B7E364">
      <w:pPr>
        <w:pStyle w:val="style0"/>
        <w:spacing w:before="120" w:after="120" w:lineRule="auto" w:line="360"/>
        <w:ind w:firstLine="720"/>
        <w:jc w:val="both"/>
        <w:rPr/>
      </w:pPr>
      <w:r>
        <w:rPr>
          <w:rFonts w:ascii="Times New Roman" w:cs="Times New Roman" w:eastAsia="Times New Roman" w:hAnsi="Times New Roman"/>
          <w:sz w:val="24"/>
          <w:szCs w:val="24"/>
        </w:rPr>
        <w:t>This chapter has presented the complete implementation of the SendRun Intelligent Logistics Platform, covering all subsystems from database schema through machine learning model training to real-time WebSocket communication for GPS tracking and trip chat. The implementation fulfils every objective stated in Chapter One of this report within the scope of Akure's five major motor parks.</w:t>
      </w:r>
    </w:p>
    <w:p w14:paraId="06305EFA">
      <w:pPr>
        <w:pStyle w:val="style0"/>
        <w:spacing w:before="120" w:after="120" w:lineRule="auto" w:line="360"/>
        <w:ind w:firstLine="720"/>
        <w:jc w:val="both"/>
        <w:rPr/>
      </w:pPr>
      <w:r>
        <w:rPr>
          <w:rFonts w:ascii="Times New Roman" w:cs="Times New Roman" w:eastAsia="Times New Roman" w:hAnsi="Times New Roman"/>
          <w:sz w:val="24"/>
          <w:szCs w:val="24"/>
        </w:rPr>
        <w:t>The ML pricing engine, trained on 200 real waybill transactions collected from Akure motor parks in June 2026, achieved a Mean Absolute Error of 807.04 Naira, representing a prediction accuracy of approximately 85.3 percent of the mean fare. The XGBoost model reduces mean absolute pricing error by 44.8 percent compared to the deterministic baseline formula, demonstrating that machine learning can meaningfully standardise the currently arbitrary pricing practices of the informal courier sector even on a modest dataset. The model correctly identifies route distance as the dominant price driver (41.8 percent feature importance) and captures non-linear interactions between weight, distance, and fuel cost that a simple formula cannot model.</w:t>
      </w:r>
    </w:p>
    <w:p w14:paraId="D6765133">
      <w:pPr>
        <w:pStyle w:val="style0"/>
        <w:spacing w:before="120" w:after="120" w:lineRule="auto" w:line="360"/>
        <w:ind w:firstLine="720"/>
        <w:jc w:val="both"/>
        <w:rPr/>
      </w:pPr>
      <w:r>
        <w:rPr>
          <w:rFonts w:ascii="Times New Roman" w:cs="Times New Roman" w:eastAsia="Times New Roman" w:hAnsi="Times New Roman"/>
          <w:sz w:val="24"/>
          <w:szCs w:val="24"/>
        </w:rPr>
        <w:t>The real-time tracking system provides parcel visibility that was entirely absent from the previous manual process. GPS coordinates flow from the driver's mobile browser through the server's in-memory WebSocket manager to the sender's interactive Leaflet map within seconds of each 60-second update cycle. The trip chat feature eliminates the need for parties to exchange personal contact information during active deliveries. Both real-time features operate over the same FastAPI WebSocket infrastructure, sharing the TrackingManager singleton for efficient resource utilisation.</w:t>
      </w:r>
    </w:p>
    <w:p w14:paraId="6B0E0BBC">
      <w:pPr>
        <w:pStyle w:val="style0"/>
        <w:spacing w:before="120" w:after="120" w:lineRule="auto" w:line="360"/>
        <w:ind w:firstLine="720"/>
        <w:jc w:val="both"/>
        <w:rPr/>
      </w:pPr>
      <w:r>
        <w:rPr>
          <w:rFonts w:ascii="Times New Roman" w:cs="Times New Roman" w:eastAsia="Times New Roman" w:hAnsi="Times New Roman"/>
          <w:sz w:val="24"/>
          <w:szCs w:val="24"/>
        </w:rPr>
        <w:t>The system was deployed at zero cost on a DigitalOcean Ubuntu server with a co-located PostgreSQL database, Nginx reverse proxy, Let's Encrypt SSL, and systemd process management. The frontend is accessible at https://delivery-app-3o49.vercel.app and the API at https://sendrun.duckdns.org. The implementation demonstrates that production-grade intelligent logistics infrastructure is achievable within the constraints of an academic project using entirely open-source tools and free cloud services, establishing a viable foundation for formal adoption by Akure transport operators or commercialisation at the state level.</w:t>
      </w:r>
    </w:p>
    <w:p w14:paraId="194B4B4A">
      <w:pPr>
        <w:pStyle w:val="style0"/>
        <w:spacing w:before="60" w:after="60"/>
        <w:rPr/>
      </w:pPr>
    </w:p>
    <w:p w14:paraId="D2780C07">
      <w:pPr>
        <w:pStyle w:val="style0"/>
        <w:spacing w:before="60" w:after="60"/>
        <w:rPr/>
      </w:pPr>
    </w:p>
    <w:sectPr>
      <w:pgSz w:w="11906" w:h="16838" w:orient="portrait"/>
      <w:pgMar w:top="1727" w:right="1440" w:bottom="1727" w:left="21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rPr>
    </w:rPrDefault>
    <w:pPrDefault>
      <w:pPr>
        <w:spacing w:lineRule="auto" w:line="360"/>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4723b068-2e1d-4292-8f54-db0ab87dbbb4"/>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4573</Words>
  <Characters>27709</Characters>
  <Application>WPS Office</Application>
  <Paragraphs>292</Paragraphs>
  <CharactersWithSpaces>32036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2026-07-14T09:49:47Z</dcterms:created>
  <dc:creator>Un-named</dc:creator>
  <lastModifiedBy>25078RA3EA</lastModifiedBy>
  <dcterms:modified xsi:type="dcterms:W3CDTF">2026-07-14T09:49:47Z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7e3238194ca3492d914277bbbdef369d_23</vt:lpwstr>
  </property>
</Properties>
</file>