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9B4AE">
      <w:pPr>
        <w:spacing w:line="480" w:lineRule="auto"/>
        <w:jc w:val="both"/>
        <w:rPr>
          <w:rFonts w:hint="default"/>
          <w:lang w:val="en-US"/>
        </w:rPr>
      </w:pPr>
      <w:r>
        <w:drawing>
          <wp:inline distT="0" distB="0" distL="114300" distR="114300">
            <wp:extent cx="919480" cy="828040"/>
            <wp:effectExtent l="0" t="0" r="7620" b="10160"/>
            <wp:docPr id="3" name="Picture 2"/>
            <wp:cNvGraphicFramePr/>
            <a:graphic xmlns:a="http://schemas.openxmlformats.org/drawingml/2006/main">
              <a:graphicData uri="http://schemas.openxmlformats.org/drawingml/2006/picture">
                <pic:pic xmlns:pic="http://schemas.openxmlformats.org/drawingml/2006/picture">
                  <pic:nvPicPr>
                    <pic:cNvPr id="3" name="Picture 2"/>
                    <pic:cNvPicPr preferRelativeResize="0"/>
                  </pic:nvPicPr>
                  <pic:blipFill>
                    <a:blip r:embed="rId7"/>
                    <a:srcRect l="-4587" b="-4587"/>
                    <a:stretch>
                      <a:fillRect/>
                    </a:stretch>
                  </pic:blipFill>
                  <pic:spPr>
                    <a:xfrm>
                      <a:off x="0" y="0"/>
                      <a:ext cx="919480" cy="828040"/>
                    </a:xfrm>
                    <a:prstGeom prst="rect">
                      <a:avLst/>
                    </a:prstGeom>
                  </pic:spPr>
                </pic:pic>
              </a:graphicData>
            </a:graphic>
          </wp:inline>
        </w:drawing>
      </w:r>
      <w:r>
        <w:rPr>
          <w:rFonts w:hint="default"/>
          <w:lang w:val="en-US"/>
        </w:rPr>
        <w:t xml:space="preserve">                                                                                                               </w:t>
      </w:r>
      <w:r>
        <w:drawing>
          <wp:inline distT="0" distB="0" distL="114300" distR="114300">
            <wp:extent cx="854710" cy="776605"/>
            <wp:effectExtent l="0" t="0" r="8890" b="10795"/>
            <wp:docPr id="10" name="Picture 4"/>
            <wp:cNvGraphicFramePr/>
            <a:graphic xmlns:a="http://schemas.openxmlformats.org/drawingml/2006/main">
              <a:graphicData uri="http://schemas.openxmlformats.org/drawingml/2006/picture">
                <pic:pic xmlns:pic="http://schemas.openxmlformats.org/drawingml/2006/picture">
                  <pic:nvPicPr>
                    <pic:cNvPr id="10" name="Picture 4"/>
                    <pic:cNvPicPr preferRelativeResize="0"/>
                  </pic:nvPicPr>
                  <pic:blipFill>
                    <a:blip r:embed="rId8"/>
                    <a:srcRect/>
                    <a:stretch>
                      <a:fillRect/>
                    </a:stretch>
                  </pic:blipFill>
                  <pic:spPr>
                    <a:xfrm>
                      <a:off x="0" y="0"/>
                      <a:ext cx="854710" cy="776605"/>
                    </a:xfrm>
                    <a:prstGeom prst="rect">
                      <a:avLst/>
                    </a:prstGeom>
                  </pic:spPr>
                </pic:pic>
              </a:graphicData>
            </a:graphic>
          </wp:inline>
        </w:drawing>
      </w:r>
    </w:p>
    <w:p w14:paraId="6F10D7D1">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 xml:space="preserve">A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lang w:val="en-US"/>
        </w:rPr>
        <w:t xml:space="preserve">SEMINAR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REPORT ON</w:t>
      </w:r>
    </w:p>
    <w:p w14:paraId="0B290115">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THE ROLE OF RISDIPLAM IN THE TREATMENT OF SPINAL MUSCULAR ATROPHY</w:t>
      </w:r>
    </w:p>
    <w:p w14:paraId="3F7898E7">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BY</w:t>
      </w:r>
    </w:p>
    <w:p w14:paraId="47875AFE">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TOLUWANIMI ODUNEWU</w:t>
      </w:r>
      <w:r>
        <w:rPr>
          <w:rFonts w:hint="default" w:ascii="Times New Roman Bold" w:hAnsi="Times New Roman Bold" w:eastAsia="sans-serif" w:cs="Times New Roman Bold"/>
          <w:b/>
          <w:bCs w:val="0"/>
          <w:i w:val="0"/>
          <w:iCs w:val="0"/>
          <w:caps w:val="0"/>
          <w:color w:val="31333F"/>
          <w:spacing w:val="0"/>
          <w:sz w:val="24"/>
          <w:szCs w:val="24"/>
          <w:bdr w:val="none" w:color="auto" w:sz="0" w:space="0"/>
        </w:rPr>
        <w:t>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190702002</w:t>
      </w:r>
    </w:p>
    <w:p w14:paraId="60AC82F8">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SUBMITTED TO:</w:t>
      </w:r>
    </w:p>
    <w:p w14:paraId="4768D379">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THE DEPARTMENT OF PHARMACOLOGY, THERAPEUTICS AND TOXICOLOGY,</w:t>
      </w:r>
      <w:r>
        <w:rPr>
          <w:rFonts w:hint="default" w:ascii="Times New Roman Bold" w:hAnsi="Times New Roman Bold" w:eastAsia="sans-serif" w:cs="Times New Roman Bold"/>
          <w:b/>
          <w:bCs w:val="0"/>
          <w:i w:val="0"/>
          <w:iCs w:val="0"/>
          <w:caps w:val="0"/>
          <w:color w:val="31333F"/>
          <w:spacing w:val="0"/>
          <w:sz w:val="24"/>
          <w:szCs w:val="24"/>
          <w:bdr w:val="none" w:color="auto" w:sz="0" w:space="0"/>
        </w:rPr>
        <w:t>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FACULTY OF BASIC MEDICAL SCIENCE,</w:t>
      </w:r>
      <w:r>
        <w:rPr>
          <w:rFonts w:hint="default" w:ascii="Times New Roman Bold" w:hAnsi="Times New Roman Bold" w:eastAsia="sans-serif" w:cs="Times New Roman Bold"/>
          <w:b/>
          <w:bCs w:val="0"/>
          <w:i w:val="0"/>
          <w:iCs w:val="0"/>
          <w:caps w:val="0"/>
          <w:color w:val="31333F"/>
          <w:spacing w:val="0"/>
          <w:sz w:val="24"/>
          <w:szCs w:val="24"/>
          <w:bdr w:val="none" w:color="auto" w:sz="0" w:space="0"/>
        </w:rPr>
        <w:t>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COLLEGE OF MEDICINE OF THE UNIVERSITY OF LAGOS, UNIVERSITY OF LAGOS.</w:t>
      </w:r>
    </w:p>
    <w:p w14:paraId="5FCE02F3">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IN PARTIAL FULFILMENT OF THE REQUIREMENTS FOR THE AWARD OF A BACHELOR'S DEGREE IN PHARMACOLOGY.</w:t>
      </w:r>
    </w:p>
    <w:p w14:paraId="7EC97103">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COURSE:</w:t>
      </w:r>
      <w:r>
        <w:rPr>
          <w:rFonts w:hint="default" w:ascii="Times New Roman Bold" w:hAnsi="Times New Roman Bold" w:eastAsia="sans-serif" w:cs="Times New Roman Bold"/>
          <w:b/>
          <w:bCs w:val="0"/>
          <w:i w:val="0"/>
          <w:iCs w:val="0"/>
          <w:caps w:val="0"/>
          <w:color w:val="31333F"/>
          <w:spacing w:val="0"/>
          <w:sz w:val="24"/>
          <w:szCs w:val="24"/>
          <w:bdr w:val="none" w:color="auto" w:sz="0" w:space="0"/>
        </w:rPr>
        <w:t> </w:t>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SEMINARS IN PHARMACOLOGY, THERAPEUTICS AND TOXICOLOGY (PHA 424)</w:t>
      </w:r>
    </w:p>
    <w:p w14:paraId="179BEC34">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JULY 2025</w:t>
      </w:r>
    </w:p>
    <w:p w14:paraId="2DE6DE41">
      <w:pPr>
        <w:pStyle w:val="4"/>
        <w:keepNext w:val="0"/>
        <w:keepLines w:val="0"/>
        <w:widowControl/>
        <w:suppressLineNumbers w:val="0"/>
        <w:jc w:val="center"/>
        <w:rPr>
          <w:rStyle w:val="13"/>
          <w:rFonts w:hint="default" w:ascii="Times New Roman" w:hAnsi="Times New Roman" w:cs="Times New Roman"/>
          <w:b/>
          <w:bCs/>
          <w:sz w:val="24"/>
          <w:szCs w:val="24"/>
        </w:rPr>
        <w:sectPr>
          <w:footerReference r:id="rId3" w:type="default"/>
          <w:pgSz w:w="11906" w:h="16838"/>
          <w:pgMar w:top="1440" w:right="1800" w:bottom="1440" w:left="1800" w:header="720" w:footer="720" w:gutter="0"/>
          <w:pgNumType w:fmt="upperRoman" w:start="1"/>
          <w:cols w:space="720" w:num="1"/>
          <w:docGrid w:linePitch="360" w:charSpace="0"/>
        </w:sectPr>
      </w:pPr>
    </w:p>
    <w:p w14:paraId="3AEC0123">
      <w:pPr>
        <w:rPr>
          <w:rFonts w:hint="default"/>
        </w:rPr>
      </w:pPr>
    </w:p>
    <w:p w14:paraId="05D4F0E7">
      <w:pPr>
        <w:pStyle w:val="4"/>
        <w:keepNext w:val="0"/>
        <w:keepLines w:val="0"/>
        <w:widowControl/>
        <w:suppressLineNumbers w:val="0"/>
        <w:jc w:val="center"/>
        <w:rPr>
          <w:rStyle w:val="13"/>
          <w:rFonts w:hint="default" w:ascii="Times New Roman" w:hAnsi="Times New Roman" w:cs="Times New Roman"/>
          <w:b/>
          <w:bCs/>
          <w:sz w:val="24"/>
          <w:szCs w:val="24"/>
          <w:lang w:val="en-US"/>
        </w:rPr>
      </w:pPr>
      <w:r>
        <w:rPr>
          <w:rStyle w:val="13"/>
          <w:rFonts w:hint="default" w:ascii="Times New Roman" w:hAnsi="Times New Roman" w:cs="Times New Roman"/>
          <w:b/>
          <w:bCs/>
          <w:sz w:val="24"/>
          <w:szCs w:val="24"/>
        </w:rPr>
        <w:t>A</w:t>
      </w:r>
      <w:r>
        <w:rPr>
          <w:rStyle w:val="13"/>
          <w:rFonts w:hint="default" w:ascii="Times New Roman" w:hAnsi="Times New Roman" w:cs="Times New Roman"/>
          <w:b/>
          <w:bCs/>
          <w:sz w:val="24"/>
          <w:szCs w:val="24"/>
          <w:lang w:val="en-US"/>
        </w:rPr>
        <w:t>BSTRACT</w:t>
      </w:r>
    </w:p>
    <w:p w14:paraId="12A9844B">
      <w:pPr>
        <w:rPr>
          <w:rFonts w:hint="default"/>
          <w:lang w:val="en-US"/>
        </w:rPr>
      </w:pPr>
    </w:p>
    <w:p w14:paraId="48386F2A">
      <w:pPr>
        <w:spacing w:line="480" w:lineRule="auto"/>
        <w:jc w:val="both"/>
        <w:rPr>
          <w:rFonts w:ascii="Times New Roman" w:hAnsi="Times New Roman" w:eastAsia="Times New Roman" w:cs="Times New Roman"/>
          <w:b/>
          <w:sz w:val="24"/>
          <w:szCs w:val="24"/>
          <w:rtl w:val="0"/>
        </w:rPr>
      </w:pPr>
      <w:r>
        <w:rPr>
          <w:rFonts w:hint="default" w:ascii="Times New Roman Regular" w:hAnsi="Times New Roman Regular"/>
          <w:sz w:val="24"/>
          <w:szCs w:val="24"/>
        </w:rPr>
        <w:t>Spinal Muscular Atrophy (SMA) is a devastating autosomal recessive neuromuscular disorder, recognized as the leading genetic cause of infant mortality worldwide, with an incidence of approximately 1 in 10,000 live births. It arises from biallelic mutations or deletions in the Survival Motor Neuron 1 (SMN1) gene, resulting in insufficient functional SMN protein essential for motor neuron survival, RNA splicing, and neuromuscular integrity. Prior to recent therapeutic breakthroughs, SMA management was limited to supportive interventions that merely alleviated symptoms without halting disease progression. The emergence of disease-modifying agents has transformed this paradigm. Risdiplam (Evrysdi®), approved by the FDA in August 2020, is a groundbreaking, orally bioavailable small-molecule splicing modifier that targets SMN2 pre-mRNA to enhance exon 7 inclusion and boost full-length SMN protein production. Unlike intrathecal or gene-based alternatives, risdiplam's systemic distribution addresses both central and peripheral manifestations of SMA. This report offers an in-depth exploration of SMA's genetic and pathophysiological underpinnings, delineates risdiplam's pharmacodynamics, pharmacokinetics, and therapeutic utility, conducts a rigorous comparative analysis with other approved therapies (nusinersen and onasemnogene abeparvovec), and evaluates recent clinical evidence, toxicological considerations, implementation challenges, and prospective developments. By integrating pharmacological, therapeutic, and toxicological perspectives, this analysis underscores risdiplam's pivotal role in optimizing SMA outcomes while highlighting areas for ongoing research to mitigate limitations such as long-term safety and global accessibility.</w:t>
      </w:r>
      <w:r>
        <w:rPr>
          <w:rFonts w:hint="default" w:ascii="Times New Roman Regular" w:hAnsi="Times New Roman Regular" w:cs="Times New Roman Regular"/>
          <w:sz w:val="24"/>
          <w:szCs w:val="24"/>
          <w:lang w:val="en-US"/>
        </w:rPr>
        <w:br w:type="page"/>
      </w:r>
    </w:p>
    <w:p w14:paraId="00000024">
      <w:pPr>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TABLE OF CONTENTS</w:t>
      </w:r>
    </w:p>
    <w:p w14:paraId="118AFDCC">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Title Page .................................................................................................................. i</w:t>
      </w:r>
    </w:p>
    <w:p w14:paraId="028BE914">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Abstract .................................................................................................................... ii</w:t>
      </w:r>
    </w:p>
    <w:p w14:paraId="750D1782">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Table of Contents ..................................................................................................... iii</w:t>
      </w:r>
    </w:p>
    <w:p w14:paraId="3A17534F">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p>
    <w:p w14:paraId="3F2CF2CA">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1.0 INTRODUCTION</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w:t>
      </w:r>
    </w:p>
    <w:p w14:paraId="01614EBB">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1.1 Epidemiology and Overview of Spinal Muscular Atrophy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w:t>
      </w:r>
    </w:p>
    <w:p w14:paraId="158EBDFB">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1.2 Genetic Basis and Pathophysiology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1</w:t>
      </w:r>
    </w:p>
    <w:p w14:paraId="2B8CA23B">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1.3 Clinical Classification, Diagnosis, and Traditional Management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3</w:t>
      </w:r>
    </w:p>
    <w:p w14:paraId="21C69C0B">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p>
    <w:p w14:paraId="7A469902">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2.0 CURRENT PHARMACOLOGICAL MANAGEMENT</w:t>
      </w:r>
      <w:r>
        <w:rPr>
          <w:rFonts w:hint="default" w:ascii="Times New Roman Regular" w:hAnsi="Times New Roman Regular" w:eastAsia="sans-serif"/>
          <w:b w:val="0"/>
          <w:i w:val="0"/>
          <w:iCs w:val="0"/>
          <w:caps w:val="0"/>
          <w:color w:val="31333F"/>
          <w:spacing w:val="0"/>
          <w:sz w:val="24"/>
          <w:szCs w:val="24"/>
          <w:bdr w:val="none" w:color="auto" w:sz="0" w:space="0"/>
        </w:rPr>
        <w:t xml:space="preserve"> ................................ 5</w:t>
      </w:r>
    </w:p>
    <w:p w14:paraId="7D178E4E">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2.1 Evolution from Supportive Care to Disease-Modifying Therapies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5</w:t>
      </w:r>
    </w:p>
    <w:p w14:paraId="7D6275C2">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2.2 Pharmacology of Risdiplam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5</w:t>
      </w:r>
    </w:p>
    <w:p w14:paraId="4C734A68">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2.2.1 Mechanism of Action and Pharmacodynamics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5</w:t>
      </w:r>
    </w:p>
    <w:p w14:paraId="71ABD0E0">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2.2.2 Pharmacokinetics, Dosing, and Administration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6</w:t>
      </w:r>
    </w:p>
    <w:p w14:paraId="5F37CC9F">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2.2.3 Therapeutic Monitoring and Drug Interactions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7</w:t>
      </w:r>
    </w:p>
    <w:p w14:paraId="011B1182">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p>
    <w:p w14:paraId="7AF9D61B">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3.0 COMPARATIVE ANALYSIS OF SMA THERAPIES</w:t>
      </w:r>
      <w:r>
        <w:rPr>
          <w:rFonts w:hint="default" w:ascii="Times New Roman Regular" w:hAnsi="Times New Roman Regular" w:eastAsia="sans-serif"/>
          <w:b w:val="0"/>
          <w:i w:val="0"/>
          <w:iCs w:val="0"/>
          <w:caps w:val="0"/>
          <w:color w:val="31333F"/>
          <w:spacing w:val="0"/>
          <w:sz w:val="24"/>
          <w:szCs w:val="24"/>
          <w:bdr w:val="none" w:color="auto" w:sz="0" w:space="0"/>
        </w:rPr>
        <w:t xml:space="preserve"> .................................. </w:t>
      </w:r>
      <w:r>
        <w:rPr>
          <w:rFonts w:hint="default" w:ascii="Times New Roman Regular" w:hAnsi="Times New Roman Regular" w:eastAsia="sans-serif"/>
          <w:b w:val="0"/>
          <w:i w:val="0"/>
          <w:iCs w:val="0"/>
          <w:caps w:val="0"/>
          <w:color w:val="31333F"/>
          <w:spacing w:val="0"/>
          <w:sz w:val="24"/>
          <w:szCs w:val="24"/>
          <w:bdr w:val="none" w:color="auto" w:sz="0" w:space="0"/>
          <w:lang w:val="en-US"/>
        </w:rPr>
        <w:t>8</w:t>
      </w:r>
    </w:p>
    <w:p w14:paraId="1FC29ABD">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 xml:space="preserve">3.1 Risdiplam versus Nusinersen versus Onasemnogene Abeparvovec .......... </w:t>
      </w:r>
      <w:r>
        <w:rPr>
          <w:rFonts w:hint="default" w:ascii="Times New Roman Regular" w:hAnsi="Times New Roman Regular" w:eastAsia="sans-serif"/>
          <w:b w:val="0"/>
          <w:i w:val="0"/>
          <w:iCs w:val="0"/>
          <w:caps w:val="0"/>
          <w:color w:val="31333F"/>
          <w:spacing w:val="0"/>
          <w:sz w:val="24"/>
          <w:szCs w:val="24"/>
          <w:bdr w:val="none" w:color="auto" w:sz="0" w:space="0"/>
          <w:lang w:val="en-US"/>
        </w:rPr>
        <w:t>8</w:t>
      </w:r>
    </w:p>
    <w:p w14:paraId="6AAA410D">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 xml:space="preserve">3.2 Efficacy Outcomes from Pivotal Clinical Trials ...................................... </w:t>
      </w:r>
      <w:r>
        <w:rPr>
          <w:rFonts w:hint="default" w:ascii="Times New Roman Regular" w:hAnsi="Times New Roman Regular" w:eastAsia="sans-serif"/>
          <w:b w:val="0"/>
          <w:i w:val="0"/>
          <w:iCs w:val="0"/>
          <w:caps w:val="0"/>
          <w:color w:val="31333F"/>
          <w:spacing w:val="0"/>
          <w:sz w:val="24"/>
          <w:szCs w:val="24"/>
          <w:bdr w:val="none" w:color="auto" w:sz="0" w:space="0"/>
          <w:lang w:val="en-US"/>
        </w:rPr>
        <w:t>9</w:t>
      </w:r>
    </w:p>
    <w:p w14:paraId="04BDD7EC">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3.3 Clinical Significance and Patient Selection Criteria ............................... 1</w:t>
      </w:r>
      <w:r>
        <w:rPr>
          <w:rFonts w:hint="default" w:ascii="Times New Roman Regular" w:hAnsi="Times New Roman Regular" w:eastAsia="sans-serif"/>
          <w:b w:val="0"/>
          <w:i w:val="0"/>
          <w:iCs w:val="0"/>
          <w:caps w:val="0"/>
          <w:color w:val="31333F"/>
          <w:spacing w:val="0"/>
          <w:sz w:val="24"/>
          <w:szCs w:val="24"/>
          <w:bdr w:val="none" w:color="auto" w:sz="0" w:space="0"/>
          <w:lang w:val="en-US"/>
        </w:rPr>
        <w:t>0</w:t>
      </w:r>
    </w:p>
    <w:p w14:paraId="4E76A391">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p>
    <w:p w14:paraId="46AFD2B2">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4.0 RECENT ADVANCEMENTS, TOXICOLOGICAL CONSIDERATIONS, CHALLENGES, AND FUTURE PROSPECTS</w:t>
      </w:r>
      <w:r>
        <w:rPr>
          <w:rFonts w:hint="default" w:ascii="Times New Roman Regular" w:hAnsi="Times New Roman Regular" w:eastAsia="sans-serif"/>
          <w:b w:val="0"/>
          <w:i w:val="0"/>
          <w:iCs w:val="0"/>
          <w:caps w:val="0"/>
          <w:color w:val="31333F"/>
          <w:spacing w:val="0"/>
          <w:sz w:val="24"/>
          <w:szCs w:val="24"/>
          <w:bdr w:val="none" w:color="auto" w:sz="0" w:space="0"/>
        </w:rPr>
        <w:t xml:space="preserve"> ............................................. 1</w:t>
      </w:r>
      <w:r>
        <w:rPr>
          <w:rFonts w:hint="default" w:ascii="Times New Roman Regular" w:hAnsi="Times New Roman Regular" w:eastAsia="sans-serif"/>
          <w:b w:val="0"/>
          <w:i w:val="0"/>
          <w:iCs w:val="0"/>
          <w:caps w:val="0"/>
          <w:color w:val="31333F"/>
          <w:spacing w:val="0"/>
          <w:sz w:val="24"/>
          <w:szCs w:val="24"/>
          <w:bdr w:val="none" w:color="auto" w:sz="0" w:space="0"/>
          <w:lang w:val="en-US"/>
        </w:rPr>
        <w:t>1</w:t>
      </w:r>
    </w:p>
    <w:p w14:paraId="0418119C">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4.1 Recent Advancements in Risdiplam Research ......................................... 1</w:t>
      </w:r>
      <w:r>
        <w:rPr>
          <w:rFonts w:hint="default" w:ascii="Times New Roman Regular" w:hAnsi="Times New Roman Regular" w:eastAsia="sans-serif"/>
          <w:b w:val="0"/>
          <w:i w:val="0"/>
          <w:iCs w:val="0"/>
          <w:caps w:val="0"/>
          <w:color w:val="31333F"/>
          <w:spacing w:val="0"/>
          <w:sz w:val="24"/>
          <w:szCs w:val="24"/>
          <w:bdr w:val="none" w:color="auto" w:sz="0" w:space="0"/>
          <w:lang w:val="en-US"/>
        </w:rPr>
        <w:t>1</w:t>
      </w:r>
    </w:p>
    <w:p w14:paraId="4C21A39D">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lang w:val="en-US"/>
        </w:rPr>
      </w:pPr>
      <w:r>
        <w:rPr>
          <w:rFonts w:hint="default" w:ascii="Times New Roman Regular" w:hAnsi="Times New Roman Regular" w:eastAsia="sans-serif"/>
          <w:b w:val="0"/>
          <w:i w:val="0"/>
          <w:iCs w:val="0"/>
          <w:caps w:val="0"/>
          <w:color w:val="31333F"/>
          <w:spacing w:val="0"/>
          <w:sz w:val="24"/>
          <w:szCs w:val="24"/>
          <w:bdr w:val="none" w:color="auto" w:sz="0" w:space="0"/>
        </w:rPr>
        <w:t>4.</w:t>
      </w:r>
      <w:r>
        <w:rPr>
          <w:rFonts w:hint="default" w:ascii="Times New Roman Regular" w:hAnsi="Times New Roman Regular" w:eastAsia="sans-serif"/>
          <w:b w:val="0"/>
          <w:i w:val="0"/>
          <w:iCs w:val="0"/>
          <w:caps w:val="0"/>
          <w:color w:val="31333F"/>
          <w:spacing w:val="0"/>
          <w:sz w:val="24"/>
          <w:szCs w:val="24"/>
          <w:bdr w:val="none" w:color="auto" w:sz="0" w:space="0"/>
          <w:lang w:val="en-US"/>
        </w:rPr>
        <w:t>2</w:t>
      </w:r>
      <w:r>
        <w:rPr>
          <w:rFonts w:hint="default" w:ascii="Times New Roman Regular" w:hAnsi="Times New Roman Regular" w:eastAsia="sans-serif"/>
          <w:b w:val="0"/>
          <w:i w:val="0"/>
          <w:iCs w:val="0"/>
          <w:caps w:val="0"/>
          <w:color w:val="31333F"/>
          <w:spacing w:val="0"/>
          <w:sz w:val="24"/>
          <w:szCs w:val="24"/>
          <w:bdr w:val="none" w:color="auto" w:sz="0" w:space="0"/>
        </w:rPr>
        <w:t xml:space="preserve"> Challenges</w:t>
      </w:r>
      <w:r>
        <w:rPr>
          <w:rFonts w:hint="default" w:ascii="Times New Roman Regular" w:hAnsi="Times New Roman Regular" w:eastAsia="sans-serif"/>
          <w:b w:val="0"/>
          <w:i w:val="0"/>
          <w:iCs w:val="0"/>
          <w:caps w:val="0"/>
          <w:color w:val="31333F"/>
          <w:spacing w:val="0"/>
          <w:sz w:val="24"/>
          <w:szCs w:val="24"/>
          <w:bdr w:val="none" w:color="auto" w:sz="0" w:space="0"/>
          <w:lang w:val="en-US"/>
        </w:rPr>
        <w:t xml:space="preserve">, </w:t>
      </w:r>
      <w:r>
        <w:rPr>
          <w:rFonts w:hint="default" w:ascii="Times New Roman Regular" w:hAnsi="Times New Roman Regular" w:eastAsia="sans-serif"/>
          <w:b w:val="0"/>
          <w:i w:val="0"/>
          <w:iCs w:val="0"/>
          <w:caps w:val="0"/>
          <w:color w:val="31333F"/>
          <w:spacing w:val="0"/>
          <w:sz w:val="24"/>
          <w:szCs w:val="24"/>
          <w:bdr w:val="none" w:color="auto" w:sz="0" w:space="0"/>
        </w:rPr>
        <w:t>Limitations</w:t>
      </w:r>
      <w:r>
        <w:rPr>
          <w:rFonts w:hint="default" w:ascii="Times New Roman Regular" w:hAnsi="Times New Roman Regular" w:eastAsia="sans-serif"/>
          <w:b w:val="0"/>
          <w:i w:val="0"/>
          <w:iCs w:val="0"/>
          <w:caps w:val="0"/>
          <w:color w:val="31333F"/>
          <w:spacing w:val="0"/>
          <w:sz w:val="24"/>
          <w:szCs w:val="24"/>
          <w:bdr w:val="none" w:color="auto" w:sz="0" w:space="0"/>
          <w:lang w:val="en-US"/>
        </w:rPr>
        <w:t xml:space="preserve"> and Toxicological Concerns</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w:t>
      </w:r>
      <w:r>
        <w:rPr>
          <w:rFonts w:hint="default" w:ascii="Times New Roman Regular" w:hAnsi="Times New Roman Regular" w:eastAsia="sans-serif"/>
          <w:b w:val="0"/>
          <w:i w:val="0"/>
          <w:iCs w:val="0"/>
          <w:caps w:val="0"/>
          <w:color w:val="31333F"/>
          <w:spacing w:val="0"/>
          <w:sz w:val="24"/>
          <w:szCs w:val="24"/>
          <w:bdr w:val="none" w:color="auto" w:sz="0" w:space="0"/>
          <w:lang w:val="en-US"/>
        </w:rPr>
        <w:t>2</w:t>
      </w:r>
    </w:p>
    <w:p w14:paraId="6FFD1F1F">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Regular" w:hAnsi="Times New Roman Regular" w:eastAsia="sans-serif"/>
          <w:b w:val="0"/>
          <w:i w:val="0"/>
          <w:iCs w:val="0"/>
          <w:caps w:val="0"/>
          <w:color w:val="31333F"/>
          <w:spacing w:val="0"/>
          <w:sz w:val="24"/>
          <w:szCs w:val="24"/>
          <w:bdr w:val="none" w:color="auto" w:sz="0" w:space="0"/>
        </w:rPr>
        <w:t>4.</w:t>
      </w:r>
      <w:r>
        <w:rPr>
          <w:rFonts w:hint="default" w:ascii="Times New Roman Regular" w:hAnsi="Times New Roman Regular" w:eastAsia="sans-serif"/>
          <w:b w:val="0"/>
          <w:i w:val="0"/>
          <w:iCs w:val="0"/>
          <w:caps w:val="0"/>
          <w:color w:val="31333F"/>
          <w:spacing w:val="0"/>
          <w:sz w:val="24"/>
          <w:szCs w:val="24"/>
          <w:bdr w:val="none" w:color="auto" w:sz="0" w:space="0"/>
          <w:lang w:val="en-US"/>
        </w:rPr>
        <w:t>3</w:t>
      </w:r>
      <w:r>
        <w:rPr>
          <w:rFonts w:hint="default" w:ascii="Times New Roman Regular" w:hAnsi="Times New Roman Regular" w:eastAsia="sans-serif"/>
          <w:b w:val="0"/>
          <w:i w:val="0"/>
          <w:iCs w:val="0"/>
          <w:caps w:val="0"/>
          <w:color w:val="31333F"/>
          <w:spacing w:val="0"/>
          <w:sz w:val="24"/>
          <w:szCs w:val="24"/>
          <w:bdr w:val="none" w:color="auto" w:sz="0" w:space="0"/>
        </w:rPr>
        <w:t xml:space="preserve"> Future Prospects</w:t>
      </w:r>
      <w:r>
        <w:rPr>
          <w:rFonts w:hint="default" w:ascii="Times New Roman Regular" w:hAnsi="Times New Roman Regular" w:eastAsia="sans-serif"/>
          <w:b w:val="0"/>
          <w:i w:val="0"/>
          <w:iCs w:val="0"/>
          <w:caps w:val="0"/>
          <w:color w:val="31333F"/>
          <w:spacing w:val="0"/>
          <w:sz w:val="24"/>
          <w:szCs w:val="24"/>
          <w:bdr w:val="none" w:color="auto" w:sz="0" w:space="0"/>
          <w:lang w:val="en-US"/>
        </w:rPr>
        <w:t xml:space="preserve"> and Emerging Therapeutic Strategies </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15</w:t>
      </w:r>
    </w:p>
    <w:p w14:paraId="694EF7A4">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p>
    <w:p w14:paraId="5738C233">
      <w:pPr>
        <w:pStyle w:val="3"/>
        <w:keepNext w:val="0"/>
        <w:keepLines w:val="0"/>
        <w:widowControl/>
        <w:suppressLineNumbers w:val="0"/>
        <w:spacing w:before="0" w:beforeAutospacing="0" w:after="0" w:afterAutospacing="0" w:line="480" w:lineRule="auto"/>
        <w:ind w:left="0" w:right="0"/>
        <w:jc w:val="distribute"/>
        <w:rPr>
          <w:rFonts w:hint="default" w:ascii="Times New Roman Regular" w:hAnsi="Times New Roman Regular" w:eastAsia="sans-serif"/>
          <w:b w:val="0"/>
          <w:i w:val="0"/>
          <w:iCs w:val="0"/>
          <w:caps w:val="0"/>
          <w:color w:val="31333F"/>
          <w:spacing w:val="0"/>
          <w:sz w:val="24"/>
          <w:szCs w:val="24"/>
          <w:bdr w:val="none" w:color="auto" w:sz="0" w:space="0"/>
        </w:rPr>
      </w:pPr>
      <w:r>
        <w:rPr>
          <w:rFonts w:hint="default" w:ascii="Times New Roman Bold" w:hAnsi="Times New Roman Bold" w:eastAsia="sans-serif" w:cs="Times New Roman Bold"/>
          <w:b/>
          <w:bCs w:val="0"/>
          <w:i w:val="0"/>
          <w:iCs w:val="0"/>
          <w:caps w:val="0"/>
          <w:color w:val="31333F"/>
          <w:spacing w:val="0"/>
          <w:sz w:val="24"/>
          <w:szCs w:val="24"/>
          <w:bdr w:val="none" w:color="auto" w:sz="0" w:space="0"/>
        </w:rPr>
        <w:t>5.0 CONCLUSION</w:t>
      </w:r>
      <w:r>
        <w:rPr>
          <w:rFonts w:hint="default" w:ascii="Times New Roman Regular" w:hAnsi="Times New Roman Regular" w:eastAsia="sans-serif"/>
          <w:b w:val="0"/>
          <w:i w:val="0"/>
          <w:iCs w:val="0"/>
          <w:caps w:val="0"/>
          <w:color w:val="31333F"/>
          <w:spacing w:val="0"/>
          <w:sz w:val="24"/>
          <w:szCs w:val="24"/>
          <w:bdr w:val="none" w:color="auto" w:sz="0" w:space="0"/>
        </w:rPr>
        <w:t>.....................................…</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16</w:t>
      </w:r>
    </w:p>
    <w:p w14:paraId="596A1412">
      <w:pPr>
        <w:pStyle w:val="3"/>
        <w:keepNext w:val="0"/>
        <w:keepLines w:val="0"/>
        <w:widowControl/>
        <w:suppressLineNumbers w:val="0"/>
        <w:spacing w:before="0" w:beforeAutospacing="0" w:after="0" w:afterAutospacing="0" w:line="480" w:lineRule="auto"/>
        <w:ind w:left="0" w:right="0"/>
        <w:jc w:val="distribute"/>
        <w:rPr>
          <w:rFonts w:hint="default" w:ascii="Times New Roman Bold" w:hAnsi="Times New Roman Bold" w:eastAsia="sans-serif" w:cs="Times New Roman Bold"/>
          <w:b/>
          <w:bCs w:val="0"/>
          <w:i w:val="0"/>
          <w:iCs w:val="0"/>
          <w:color w:val="31333F"/>
          <w:spacing w:val="-1"/>
          <w:sz w:val="24"/>
          <w:szCs w:val="24"/>
        </w:rPr>
      </w:pPr>
      <w:r>
        <w:rPr>
          <w:rFonts w:hint="default" w:ascii="Times New Roman Bold" w:hAnsi="Times New Roman Bold" w:eastAsia="sans-serif" w:cs="Times New Roman Bold"/>
          <w:b/>
          <w:bCs w:val="0"/>
          <w:i w:val="0"/>
          <w:iCs w:val="0"/>
          <w:color w:val="31333F"/>
          <w:spacing w:val="0"/>
          <w:sz w:val="24"/>
          <w:szCs w:val="24"/>
          <w:bdr w:val="none" w:color="auto" w:sz="0" w:space="0"/>
        </w:rPr>
        <w:t>REFERENCES</w:t>
      </w:r>
      <w:r>
        <w:rPr>
          <w:rFonts w:hint="default" w:ascii="Times New Roman Regular" w:hAnsi="Times New Roman Regular" w:eastAsia="sans-serif"/>
          <w:b w:val="0"/>
          <w:i w:val="0"/>
          <w:iCs w:val="0"/>
          <w:caps w:val="0"/>
          <w:color w:val="31333F"/>
          <w:spacing w:val="0"/>
          <w:sz w:val="24"/>
          <w:szCs w:val="24"/>
          <w:bdr w:val="none" w:color="auto" w:sz="0" w:space="0"/>
        </w:rPr>
        <w:t xml:space="preserve"> ................................................................................…</w:t>
      </w:r>
      <w:r>
        <w:rPr>
          <w:rFonts w:hint="default" w:ascii="Times New Roman Regular" w:hAnsi="Times New Roman Regular" w:eastAsia="sans-serif"/>
          <w:b w:val="0"/>
          <w:i w:val="0"/>
          <w:iCs w:val="0"/>
          <w:caps w:val="0"/>
          <w:color w:val="31333F"/>
          <w:spacing w:val="0"/>
          <w:sz w:val="24"/>
          <w:szCs w:val="24"/>
          <w:bdr w:val="none" w:color="auto" w:sz="0" w:space="0"/>
          <w:lang w:val="en-US"/>
        </w:rPr>
        <w:t>…</w:t>
      </w:r>
      <w:r>
        <w:rPr>
          <w:rFonts w:hint="default" w:ascii="Times New Roman Regular" w:hAnsi="Times New Roman Regular" w:eastAsia="sans-serif"/>
          <w:b w:val="0"/>
          <w:i w:val="0"/>
          <w:iCs w:val="0"/>
          <w:caps w:val="0"/>
          <w:color w:val="31333F"/>
          <w:spacing w:val="0"/>
          <w:sz w:val="24"/>
          <w:szCs w:val="24"/>
          <w:bdr w:val="none" w:color="auto" w:sz="0" w:space="0"/>
        </w:rPr>
        <w:t>............. 17</w:t>
      </w:r>
      <w:bookmarkStart w:id="0" w:name="_GoBack"/>
      <w:bookmarkEnd w:id="0"/>
    </w:p>
    <w:p w14:paraId="6280A4D3">
      <w:pPr>
        <w:pStyle w:val="3"/>
        <w:keepNext w:val="0"/>
        <w:keepLines w:val="0"/>
        <w:widowControl/>
        <w:suppressLineNumbers w:val="0"/>
        <w:spacing w:before="0" w:beforeAutospacing="0" w:after="0" w:afterAutospacing="0" w:line="480" w:lineRule="auto"/>
        <w:ind w:left="0" w:right="0"/>
        <w:jc w:val="center"/>
        <w:rPr>
          <w:rFonts w:hint="default" w:ascii="Times New Roman Bold" w:hAnsi="Times New Roman Bold" w:eastAsia="sans-serif" w:cs="Times New Roman Bold"/>
          <w:b/>
          <w:bCs w:val="0"/>
          <w:i w:val="0"/>
          <w:iCs w:val="0"/>
          <w:color w:val="31333F"/>
          <w:spacing w:val="-1"/>
          <w:sz w:val="24"/>
          <w:szCs w:val="24"/>
        </w:rPr>
      </w:pPr>
    </w:p>
    <w:p w14:paraId="49971A43">
      <w:pPr>
        <w:pStyle w:val="3"/>
        <w:keepNext w:val="0"/>
        <w:keepLines w:val="0"/>
        <w:widowControl/>
        <w:suppressLineNumbers w:val="0"/>
        <w:spacing w:before="0" w:beforeAutospacing="0" w:after="0" w:afterAutospacing="0" w:line="480" w:lineRule="auto"/>
        <w:ind w:left="0" w:right="0"/>
        <w:jc w:val="center"/>
        <w:rPr>
          <w:rFonts w:hint="default" w:ascii="Times New Roman Bold" w:hAnsi="Times New Roman Bold" w:eastAsia="sans-serif" w:cs="Times New Roman Bold"/>
          <w:b/>
          <w:bCs w:val="0"/>
          <w:i w:val="0"/>
          <w:iCs w:val="0"/>
          <w:color w:val="31333F"/>
          <w:spacing w:val="-1"/>
          <w:sz w:val="24"/>
          <w:szCs w:val="24"/>
        </w:rPr>
      </w:pPr>
    </w:p>
    <w:p w14:paraId="6D5E14C1">
      <w:pPr>
        <w:pStyle w:val="3"/>
        <w:keepNext w:val="0"/>
        <w:keepLines w:val="0"/>
        <w:widowControl/>
        <w:suppressLineNumbers w:val="0"/>
        <w:spacing w:before="0" w:beforeAutospacing="0" w:after="0" w:afterAutospacing="0" w:line="480" w:lineRule="auto"/>
        <w:ind w:left="0" w:right="0"/>
        <w:jc w:val="center"/>
        <w:rPr>
          <w:rFonts w:hint="default" w:ascii="Times New Roman Bold" w:hAnsi="Times New Roman Bold" w:eastAsia="sans-serif" w:cs="Times New Roman Bold"/>
          <w:b/>
          <w:bCs w:val="0"/>
          <w:i w:val="0"/>
          <w:iCs w:val="0"/>
          <w:color w:val="31333F"/>
          <w:spacing w:val="-1"/>
          <w:sz w:val="24"/>
          <w:szCs w:val="24"/>
        </w:rPr>
      </w:pPr>
    </w:p>
    <w:p w14:paraId="08DC6128">
      <w:pPr>
        <w:pStyle w:val="3"/>
        <w:keepNext w:val="0"/>
        <w:keepLines w:val="0"/>
        <w:widowControl/>
        <w:suppressLineNumbers w:val="0"/>
        <w:spacing w:before="0" w:beforeAutospacing="0" w:after="0" w:afterAutospacing="0" w:line="480" w:lineRule="auto"/>
        <w:ind w:left="0" w:right="0"/>
        <w:jc w:val="center"/>
        <w:rPr>
          <w:rFonts w:hint="default" w:ascii="Times New Roman Bold" w:hAnsi="Times New Roman Bold" w:eastAsia="sans-serif" w:cs="Times New Roman Bold"/>
          <w:b/>
          <w:bCs w:val="0"/>
          <w:i w:val="0"/>
          <w:iCs w:val="0"/>
          <w:color w:val="31333F"/>
          <w:spacing w:val="-1"/>
          <w:sz w:val="24"/>
          <w:szCs w:val="24"/>
        </w:rPr>
      </w:pPr>
    </w:p>
    <w:p w14:paraId="54E79AA6">
      <w:pPr>
        <w:pStyle w:val="4"/>
        <w:keepNext w:val="0"/>
        <w:keepLines w:val="0"/>
        <w:widowControl/>
        <w:suppressLineNumbers w:val="0"/>
        <w:spacing w:line="480" w:lineRule="auto"/>
        <w:jc w:val="both"/>
        <w:rPr>
          <w:rStyle w:val="13"/>
          <w:rFonts w:hint="default" w:ascii="Times New Roman" w:hAnsi="Times New Roman" w:cs="Times New Roman"/>
          <w:b/>
          <w:bCs/>
          <w:sz w:val="24"/>
          <w:szCs w:val="24"/>
          <w:lang w:val="en-US"/>
        </w:rPr>
      </w:pPr>
    </w:p>
    <w:p w14:paraId="6B132CAA">
      <w:pPr>
        <w:rPr>
          <w:rFonts w:hint="default"/>
          <w:lang w:val="en-US"/>
        </w:rPr>
      </w:pPr>
    </w:p>
    <w:p w14:paraId="4B871928">
      <w:pPr>
        <w:pStyle w:val="4"/>
        <w:keepNext w:val="0"/>
        <w:keepLines w:val="0"/>
        <w:widowControl/>
        <w:suppressLineNumbers w:val="0"/>
        <w:spacing w:line="480" w:lineRule="auto"/>
        <w:jc w:val="center"/>
        <w:rPr>
          <w:rStyle w:val="13"/>
          <w:rFonts w:hint="default" w:ascii="Times New Roman" w:hAnsi="Times New Roman" w:cs="Times New Roman"/>
          <w:b/>
          <w:bCs/>
          <w:sz w:val="24"/>
          <w:szCs w:val="24"/>
          <w:lang w:val="en-US"/>
        </w:rPr>
      </w:pPr>
    </w:p>
    <w:p w14:paraId="6CC80625">
      <w:pPr>
        <w:pStyle w:val="4"/>
        <w:keepNext w:val="0"/>
        <w:keepLines w:val="0"/>
        <w:widowControl/>
        <w:suppressLineNumbers w:val="0"/>
        <w:spacing w:line="480" w:lineRule="auto"/>
        <w:jc w:val="center"/>
        <w:rPr>
          <w:rStyle w:val="13"/>
          <w:rFonts w:hint="default" w:ascii="Times New Roman" w:hAnsi="Times New Roman" w:cs="Times New Roman"/>
          <w:b/>
          <w:bCs/>
          <w:sz w:val="24"/>
          <w:szCs w:val="24"/>
          <w:lang w:val="en-US"/>
        </w:rPr>
      </w:pPr>
    </w:p>
    <w:p w14:paraId="1DC84E94">
      <w:pPr>
        <w:pStyle w:val="4"/>
        <w:keepNext w:val="0"/>
        <w:keepLines w:val="0"/>
        <w:widowControl/>
        <w:suppressLineNumbers w:val="0"/>
        <w:spacing w:line="480" w:lineRule="auto"/>
        <w:jc w:val="center"/>
        <w:rPr>
          <w:rStyle w:val="13"/>
          <w:rFonts w:hint="default" w:ascii="Times New Roman" w:hAnsi="Times New Roman" w:cs="Times New Roman"/>
          <w:b/>
          <w:bCs/>
          <w:sz w:val="24"/>
          <w:szCs w:val="24"/>
          <w:lang w:val="en-US"/>
        </w:rPr>
        <w:sectPr>
          <w:footerReference r:id="rId4" w:type="default"/>
          <w:pgSz w:w="11906" w:h="16838"/>
          <w:pgMar w:top="1440" w:right="1800" w:bottom="1440" w:left="1800" w:header="720" w:footer="720" w:gutter="0"/>
          <w:pgNumType w:fmt="upperRoman"/>
          <w:cols w:space="720" w:num="1"/>
          <w:docGrid w:linePitch="360" w:charSpace="0"/>
        </w:sectPr>
      </w:pPr>
    </w:p>
    <w:p w14:paraId="4AE9B9F8">
      <w:pPr>
        <w:pStyle w:val="4"/>
        <w:keepNext w:val="0"/>
        <w:keepLines w:val="0"/>
        <w:widowControl/>
        <w:suppressLineNumbers w:val="0"/>
        <w:spacing w:line="480" w:lineRule="auto"/>
        <w:jc w:val="center"/>
        <w:rPr>
          <w:rStyle w:val="13"/>
          <w:rFonts w:hint="default" w:ascii="Times New Roman" w:hAnsi="Times New Roman" w:cs="Times New Roman"/>
          <w:b/>
          <w:bCs/>
          <w:sz w:val="24"/>
          <w:szCs w:val="24"/>
          <w:lang w:val="en-US"/>
        </w:rPr>
      </w:pPr>
      <w:r>
        <w:rPr>
          <w:rStyle w:val="13"/>
          <w:rFonts w:hint="default" w:ascii="Times New Roman" w:hAnsi="Times New Roman" w:cs="Times New Roman"/>
          <w:b/>
          <w:bCs/>
          <w:sz w:val="24"/>
          <w:szCs w:val="24"/>
          <w:lang w:val="en-US"/>
        </w:rPr>
        <w:t>CHAPTER 1</w:t>
      </w:r>
    </w:p>
    <w:p w14:paraId="557086A1">
      <w:pPr>
        <w:jc w:val="center"/>
        <w:rPr>
          <w:rStyle w:val="13"/>
          <w:rFonts w:hint="default" w:ascii="Times New Roman" w:hAnsi="Times New Roman" w:cs="Times New Roman"/>
          <w:b/>
          <w:bCs/>
          <w:sz w:val="24"/>
          <w:szCs w:val="24"/>
          <w:lang w:val="en-US"/>
        </w:rPr>
      </w:pPr>
      <w:r>
        <w:rPr>
          <w:rStyle w:val="13"/>
          <w:rFonts w:hint="default" w:ascii="Times New Roman" w:hAnsi="Times New Roman" w:cs="Times New Roman"/>
          <w:b/>
          <w:bCs/>
          <w:sz w:val="24"/>
          <w:szCs w:val="24"/>
          <w:lang w:val="en-US"/>
        </w:rPr>
        <w:t>INTRODUCTION</w:t>
      </w:r>
    </w:p>
    <w:p w14:paraId="01847886">
      <w:pPr>
        <w:jc w:val="center"/>
        <w:rPr>
          <w:rStyle w:val="13"/>
          <w:rFonts w:hint="default" w:ascii="Times New Roman" w:hAnsi="Times New Roman" w:cs="Times New Roman"/>
          <w:b/>
          <w:bCs/>
          <w:sz w:val="24"/>
          <w:szCs w:val="24"/>
          <w:lang w:val="en-US"/>
        </w:rPr>
      </w:pPr>
    </w:p>
    <w:p w14:paraId="7E2FE0F3">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1.1 Epidemiology and Global Burden of SMA</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"1-1-epidemiology-and-global-burden-of-sma"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42111B9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Spinal Muscular Atrophy (SMA) manifests as a rare yet profoundly impactful autosomal recessive neuromuscular disorder, with an estimated global incidence of 1 in 6,000 to 1 in 10,000 live births and a carrier frequency of approximately 1 in 50 individuals (Verhaak et al., 2014). This translates to roughly 1 in 40 to 1 in 60 newborns being heterozygous carriers, underscoring the genetic prevalence in diverse populations. SMA accounts for over 50% of genetically driven infant deaths due to neuromuscular causes, imposing a substantial socioeconomic burden through intensive lifelong care requirements, including respiratory support and nutritional interventions (Darras et al., 2015). Regional variations exist; for instance, higher incidences are reported in consanguineous populations, emphasizing the need for enhanced newborn screening programs to facilitate early diagnosis and intervention. The advent of disease-modifying therapies has not only extended survival but also shifted the focus toward improving quality of life, motor function, and independence.</w:t>
      </w:r>
    </w:p>
    <w:p w14:paraId="0F8F885A">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1.2 Genetic Basis and Pathophysiology</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"1-2-genetic-basis-and-pathophysiology"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48F21A81">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At the core of SMA lies biallelic disruption of the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Survival Motor Neuron 1 (SMN1)</w:t>
      </w:r>
      <w:r>
        <w:rPr>
          <w:rFonts w:hint="default" w:ascii="Times New Roman Regular" w:hAnsi="Times New Roman Regular" w:eastAsia="sans-serif" w:cs="Times New Roman Regular"/>
          <w:i w:val="0"/>
          <w:iCs w:val="0"/>
          <w:caps w:val="0"/>
          <w:color w:val="31333F"/>
          <w:spacing w:val="0"/>
          <w:sz w:val="24"/>
          <w:szCs w:val="24"/>
          <w:bdr w:val="none" w:color="auto" w:sz="0" w:space="0"/>
        </w:rPr>
        <w:t> gene on chromosome 5q13, typically via homozygous deletions (95% of cases) or compound heterozygous mutations, resulting in absent or dysfunctional SMN protein (Lefebvre et al., 1995). The SMN protein is a ubiquitous housekeeping factor indispensable for multiple cellular processes, including the assembly of small nuclear ribonucleoproteins (snRNPs) essential for pre-mRNA splicing, axonal mRNA transport, synaptic transmission, and motor neuron maintenance (Liu &amp; Dreyfuss, 1996).</w:t>
      </w:r>
    </w:p>
    <w:p w14:paraId="0F08CCB8">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A homologous gene,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SMN2</w:t>
      </w:r>
      <w:r>
        <w:rPr>
          <w:rFonts w:hint="default" w:ascii="Times New Roman Regular" w:hAnsi="Times New Roman Regular" w:eastAsia="sans-serif" w:cs="Times New Roman Regular"/>
          <w:i w:val="0"/>
          <w:iCs w:val="0"/>
          <w:caps w:val="0"/>
          <w:color w:val="31333F"/>
          <w:spacing w:val="0"/>
          <w:sz w:val="24"/>
          <w:szCs w:val="24"/>
          <w:bdr w:val="none" w:color="auto" w:sz="0" w:space="0"/>
        </w:rPr>
        <w:t>, serves as a disease modifier due to a single nucleotide polymorphism (c.840C&gt;T) in exon 7, which disrupts an exonic splicing enhancer, causing ~90% of SMN2 transcripts to skip exon 7 and produce a truncated, unstable Δ7-SMN isoform with minimal functionality (Lorson et al., 1999; Monani et al., 1999). The remaining ~10% yields full-length SMN protein, making SMN2 copy number (typically 2-8 copies) a key determinant of phenotypic severity: fewer copies correlate with more aggressive disease (Mailman et al., 2002). Pathophysiologically, SMN deficiency precipitates selective alpha motor neuron degeneration in the spinal cord's anterior horn, leading to denervation of skeletal muscles, progressive symmetric proximal weakness, fasciculations, and eventual respiratory compromise. Secondary effects include ubiquitin-proteasome dysregulation, mitochondrial dysfunction, and neuroinflammation, amplifying neurodegeneration (Beattie et al., 2007).</w:t>
      </w:r>
    </w:p>
    <w:p w14:paraId="0981F377">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pPr>
      <w:r>
        <w:rPr>
          <w:rFonts w:hint="default" w:ascii="Times New Roman Regular" w:hAnsi="Times New Roman Regular" w:eastAsia="sans-serif" w:cs="Times New Roman Regular"/>
          <w:i w:val="0"/>
          <w:iCs w:val="0"/>
          <w:caps w:val="0"/>
          <w:color w:val="31333F"/>
          <w:spacing w:val="0"/>
          <w:sz w:val="24"/>
          <w:szCs w:val="24"/>
          <w:bdr w:val="none" w:color="auto" w:sz="0" w:space="0"/>
        </w:rPr>
        <w:drawing>
          <wp:inline distT="0" distB="0" distL="114300" distR="114300">
            <wp:extent cx="3303270" cy="2144395"/>
            <wp:effectExtent l="0" t="0" r="24130" b="14605"/>
            <wp:docPr id="29" name="Picture 29" descr="genes-15-01294-g00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enes-15-01294-g002-550"/>
                    <pic:cNvPicPr>
                      <a:picLocks noChangeAspect="1"/>
                    </pic:cNvPicPr>
                  </pic:nvPicPr>
                  <pic:blipFill>
                    <a:blip r:embed="rId9"/>
                    <a:stretch>
                      <a:fillRect/>
                    </a:stretch>
                  </pic:blipFill>
                  <pic:spPr>
                    <a:xfrm>
                      <a:off x="0" y="0"/>
                      <a:ext cx="3303270" cy="2144395"/>
                    </a:xfrm>
                    <a:prstGeom prst="rect">
                      <a:avLst/>
                    </a:prstGeom>
                  </pic:spPr>
                </pic:pic>
              </a:graphicData>
            </a:graphic>
          </wp:inline>
        </w:drawing>
      </w:r>
      <w:r>
        <w:rPr>
          <w:rFonts w:hint="default" w:ascii="Times New Roman Regular" w:hAnsi="Times New Roman Regular" w:eastAsia="sans-serif" w:cs="Times New Roman Regular"/>
          <w:i w:val="0"/>
          <w:iCs w:val="0"/>
          <w:caps w:val="0"/>
          <w:color w:val="31333F"/>
          <w:spacing w:val="0"/>
          <w:sz w:val="24"/>
          <w:szCs w:val="24"/>
          <w:bdr w:val="none" w:color="auto" w:sz="0" w:space="0"/>
        </w:rPr>
        <w:br w:type="textWrapping"/>
      </w:r>
      <w:r>
        <w:rPr>
          <w:rStyle w:val="13"/>
          <w:rFonts w:hint="default" w:ascii="Times New Roman Bold" w:hAnsi="Times New Roman Bold" w:eastAsia="sans-serif" w:cs="Times New Roman Bold"/>
          <w:b/>
          <w:bCs/>
          <w:i w:val="0"/>
          <w:iCs w:val="0"/>
          <w:caps w:val="0"/>
          <w:color w:val="31333F"/>
          <w:spacing w:val="0"/>
          <w:sz w:val="24"/>
          <w:szCs w:val="24"/>
          <w:bdr w:val="none" w:color="auto" w:sz="0" w:space="0"/>
        </w:rPr>
        <w:t>Figure 1.1: Genetic and Pathophysiological Cascade in SMA</w:t>
      </w:r>
    </w:p>
    <w:p w14:paraId="072C758D">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lang w:val="en-US"/>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lang w:val="en-US"/>
        </w:rPr>
        <w:t xml:space="preserve">Source: </w:t>
      </w:r>
      <w:r>
        <w:rPr>
          <w:rStyle w:val="13"/>
          <w:rFonts w:hint="default" w:ascii="Times New Roman Regular" w:hAnsi="Times New Roman Regular" w:eastAsia="sans-serif"/>
          <w:b/>
          <w:bCs/>
          <w:i w:val="0"/>
          <w:iCs w:val="0"/>
          <w:caps w:val="0"/>
          <w:color w:val="31333F"/>
          <w:spacing w:val="0"/>
          <w:sz w:val="24"/>
          <w:szCs w:val="24"/>
          <w:bdr w:val="none" w:color="auto" w:sz="0" w:space="0"/>
          <w:lang w:val="en-US"/>
        </w:rPr>
        <w:t>https://www.mdpi.com/2073-4425/15/10/1294</w:t>
      </w:r>
    </w:p>
    <w:p w14:paraId="19BA1805">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Regular" w:hAnsi="Times New Roman Regular" w:eastAsia="sans-serif" w:cs="Times New Roman Regular"/>
          <w:i w:val="0"/>
          <w:iCs w:val="0"/>
          <w:caps w:val="0"/>
          <w:color w:val="31333F"/>
          <w:spacing w:val="0"/>
          <w:sz w:val="24"/>
          <w:szCs w:val="24"/>
        </w:rPr>
      </w:pPr>
    </w:p>
    <w:p w14:paraId="4D33FA91">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1.3 Clinical Classification, Symptoms, and Traditional Management</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"1-3-clinical-classification-symptoms-and-traditional-management"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tbl>
      <w:tblPr>
        <w:tblStyle w:val="7"/>
        <w:tblpPr w:leftFromText="180" w:rightFromText="180" w:vertAnchor="text" w:horzAnchor="page" w:tblpX="1323" w:tblpY="2740"/>
        <w:tblOverlap w:val="never"/>
        <w:tblW w:w="94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2"/>
        <w:gridCol w:w="1022"/>
        <w:gridCol w:w="2056"/>
        <w:gridCol w:w="1836"/>
        <w:gridCol w:w="2058"/>
        <w:gridCol w:w="964"/>
      </w:tblGrid>
      <w:tr w14:paraId="4CC36367">
        <w:trPr>
          <w:trHeight w:val="918" w:hRule="atLeast"/>
          <w:tblHead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790D1A">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3BD94A">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Age of Onset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E58278">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Key Symptoms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AC58CC">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Motor Milestones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03FA3BA">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Life Expectancy (Untreated)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95E315">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Prevalence</w:t>
            </w:r>
          </w:p>
        </w:tc>
      </w:tr>
      <w:tr w14:paraId="16D7333B">
        <w:trPr>
          <w:trHeight w:val="1807"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8480131">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 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EB5DA84">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Prenatal/in utero</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8959B53">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Severe hypotonia, contractures, respiratory distress at birth</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0CF3C3">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None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6C3A45">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Weeks to months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E28A1D8">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&lt;5%</w:t>
            </w:r>
          </w:p>
        </w:tc>
      </w:tr>
      <w:tr w14:paraId="3E7749DF">
        <w:trPr>
          <w:trHeight w:val="1807"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F58E56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 1 (Werdnig-Hoffmann)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D47242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0-6 months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D67A90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Profound weakness, failure to thrive, recurrent infections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F8047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Head control only; never sits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E9C7E18">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&lt;2 years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89B7B6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~50%</w:t>
            </w:r>
          </w:p>
        </w:tc>
      </w:tr>
      <w:tr w14:paraId="4D34920C">
        <w:trPr>
          <w:trHeight w:val="1362"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180BD91">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 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8C9F2E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6-18 months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7DBC04">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Delayed milestones, hand tremors, scoliosis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0698B52">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Sits independently; never walks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ACEA8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Adolescence/adulthood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E11544">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~30%</w:t>
            </w:r>
          </w:p>
        </w:tc>
      </w:tr>
      <w:tr w14:paraId="6637546D">
        <w:trPr>
          <w:trHeight w:val="1807"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6313DA">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 3 (Kugelberg-Welander)</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E2362A">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&gt;18 months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C6619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Intermittent falls, proximal weakness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6ABB6E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Walks independently; may lose ambulation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74230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Normal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D812772">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~15-20%</w:t>
            </w:r>
          </w:p>
        </w:tc>
      </w:tr>
      <w:tr w14:paraId="6B36CC2B">
        <w:trPr>
          <w:trHeight w:val="1362"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855570F">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Style w:val="13"/>
                <w:rFonts w:hint="default" w:ascii="Times New Roman Regular" w:hAnsi="Times New Roman Regular" w:eastAsia="sans-serif" w:cs="Times New Roman Regular"/>
                <w:b/>
                <w:bCs/>
                <w:i w:val="0"/>
                <w:iCs w:val="0"/>
                <w:caps w:val="0"/>
                <w:color w:val="000000"/>
                <w:spacing w:val="0"/>
                <w:kern w:val="0"/>
                <w:sz w:val="20"/>
                <w:szCs w:val="20"/>
                <w:lang w:val="en-US" w:eastAsia="zh-CN" w:bidi="ar"/>
              </w:rPr>
              <w:t>Type 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9E7E74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&gt;18 years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72941A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Mild, insidious weakness; fatigue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5B8FB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Normal early milestones; late decline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C8B269">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Normal</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8ACC1C">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000000"/>
                <w:spacing w:val="0"/>
                <w:sz w:val="20"/>
                <w:szCs w:val="20"/>
              </w:rPr>
            </w:pPr>
            <w:r>
              <w:rPr>
                <w:rFonts w:hint="default" w:ascii="Times New Roman Regular" w:hAnsi="Times New Roman Regular" w:eastAsia="sans-serif" w:cs="Times New Roman Regular"/>
                <w:i w:val="0"/>
                <w:iCs w:val="0"/>
                <w:caps w:val="0"/>
                <w:color w:val="000000"/>
                <w:spacing w:val="0"/>
                <w:kern w:val="0"/>
                <w:sz w:val="20"/>
                <w:szCs w:val="20"/>
                <w:lang w:val="en-US" w:eastAsia="zh-CN" w:bidi="ar"/>
              </w:rPr>
              <w:t>&lt;5%</w:t>
            </w:r>
          </w:p>
        </w:tc>
      </w:tr>
    </w:tbl>
    <w:p w14:paraId="63933D6C">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SMA is stratified into five types (0-4) based on age of onset, maximum motor function achieved, and survival prognosis, as per the International SMA Consortium criteria (Finkel et al., 2018). Key symptoms include hypotonia ("floppy infant"), bulbar dysfunction (poor suck/swallow), tongue fasciculations, and areflexia, with</w:t>
      </w:r>
      <w:r>
        <w:rPr>
          <w:rFonts w:hint="default" w:ascii="Times New Roman Regular" w:hAnsi="Times New Roman Regular" w:eastAsia="sans-serif" w:cs="Times New Roman Regular"/>
          <w:i w:val="0"/>
          <w:iCs w:val="0"/>
          <w:caps w:val="0"/>
          <w:color w:val="31333F"/>
          <w:spacing w:val="0"/>
          <w:sz w:val="24"/>
          <w:szCs w:val="24"/>
          <w:bdr w:val="none" w:color="auto" w:sz="0" w:space="0"/>
          <w:lang w:val="en-US"/>
        </w:rPr>
        <w:t xml:space="preserve"> </w:t>
      </w:r>
    </w:p>
    <w:p w14:paraId="257D2EC5">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Fonts w:hint="default" w:ascii="Times New Roman Regular" w:hAnsi="Times New Roman Regular" w:eastAsia="sans-serif" w:cs="Times New Roman Regular"/>
          <w:i w:val="0"/>
          <w:iCs w:val="0"/>
          <w:caps w:val="0"/>
          <w:color w:val="31333F"/>
          <w:spacing w:val="0"/>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Table 1.1: Clinical Classification of SMA Types (Adapted from Kolb &amp; Kissel, 2015; Finkel et al., 2018)</w:t>
      </w:r>
    </w:p>
    <w:p w14:paraId="5BC5E93F">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bdr w:val="none" w:color="auto" w:sz="0" w:space="0"/>
        </w:rPr>
      </w:pPr>
      <w:r>
        <w:rPr>
          <w:rFonts w:hint="default" w:ascii="Times New Roman Regular" w:hAnsi="Times New Roman Regular" w:eastAsia="sans-serif" w:cs="Times New Roman Regular"/>
          <w:i w:val="0"/>
          <w:iCs w:val="0"/>
          <w:caps w:val="0"/>
          <w:color w:val="31333F"/>
          <w:spacing w:val="0"/>
          <w:sz w:val="24"/>
          <w:szCs w:val="24"/>
        </w:rPr>
        <w:t>respiratory failure as the primary cause of mortality in untreated severe cases.</w:t>
      </w:r>
    </w:p>
    <w:p w14:paraId="51E2A57D">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Prior to disease-modifying therapies, management was palliative and multidisciplinary:</w:t>
      </w:r>
    </w:p>
    <w:p w14:paraId="3A6535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left"/>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Respiratory:</w:t>
      </w:r>
      <w:r>
        <w:rPr>
          <w:rFonts w:hint="default" w:ascii="Times New Roman Regular" w:hAnsi="Times New Roman Regular" w:eastAsia="sans-serif" w:cs="Times New Roman Regular"/>
          <w:i w:val="0"/>
          <w:iCs w:val="0"/>
          <w:caps w:val="0"/>
          <w:color w:val="31333F"/>
          <w:spacing w:val="0"/>
          <w:sz w:val="24"/>
          <w:szCs w:val="24"/>
          <w:bdr w:val="none" w:color="auto" w:sz="0" w:space="0"/>
        </w:rPr>
        <w:t> Non-invasive ventilation (e.g., BiPAP), tracheostomy in advanced cases, and cough-assist devices to mitigate hypoventilation and aspiration pneumonia.</w:t>
      </w:r>
    </w:p>
    <w:p w14:paraId="7E21AC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left"/>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Nutritional:</w:t>
      </w:r>
      <w:r>
        <w:rPr>
          <w:rFonts w:hint="default" w:ascii="Times New Roman Regular" w:hAnsi="Times New Roman Regular" w:eastAsia="sans-serif" w:cs="Times New Roman Regular"/>
          <w:i w:val="0"/>
          <w:iCs w:val="0"/>
          <w:caps w:val="0"/>
          <w:color w:val="31333F"/>
          <w:spacing w:val="0"/>
          <w:sz w:val="24"/>
          <w:szCs w:val="24"/>
          <w:bdr w:val="none" w:color="auto" w:sz="0" w:space="0"/>
        </w:rPr>
        <w:t> Enteral feeding via nasogastric or gastrostomy tubes to address dysphagia and malnutrition.</w:t>
      </w:r>
    </w:p>
    <w:p w14:paraId="3D90657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left"/>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Orthopedic and Rehabilitative:</w:t>
      </w:r>
      <w:r>
        <w:rPr>
          <w:rFonts w:hint="default" w:ascii="Times New Roman Regular" w:hAnsi="Times New Roman Regular" w:eastAsia="sans-serif" w:cs="Times New Roman Regular"/>
          <w:i w:val="0"/>
          <w:iCs w:val="0"/>
          <w:caps w:val="0"/>
          <w:color w:val="31333F"/>
          <w:spacing w:val="0"/>
          <w:sz w:val="24"/>
          <w:szCs w:val="24"/>
          <w:bdr w:val="none" w:color="auto" w:sz="0" w:space="0"/>
        </w:rPr>
        <w:t> Physical/occupational therapy, bracing, spinal fusion for scoliosis, and orthotics to preserve function and prevent contractures.</w:t>
      </w:r>
    </w:p>
    <w:p w14:paraId="513151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left"/>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Multidisciplinary Support:</w:t>
      </w:r>
      <w:r>
        <w:rPr>
          <w:rFonts w:hint="default" w:ascii="Times New Roman Regular" w:hAnsi="Times New Roman Regular" w:eastAsia="sans-serif" w:cs="Times New Roman Regular"/>
          <w:i w:val="0"/>
          <w:iCs w:val="0"/>
          <w:caps w:val="0"/>
          <w:color w:val="31333F"/>
          <w:spacing w:val="0"/>
          <w:sz w:val="24"/>
          <w:szCs w:val="24"/>
          <w:bdr w:val="none" w:color="auto" w:sz="0" w:space="0"/>
        </w:rPr>
        <w:t> Involves pulmonologists, nutritionists, genetic counselors, and palliative care teams.</w:t>
      </w:r>
    </w:p>
    <w:p w14:paraId="252243CE">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bdr w:val="none" w:color="auto" w:sz="0" w:space="0"/>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These strategies enhanced survival and comfort but failed to halt progression, highlighting the urgency for pharmacological interventions.</w:t>
      </w:r>
    </w:p>
    <w:p w14:paraId="466A028E">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pPr>
      <w:r>
        <w:rPr>
          <w:rFonts w:hint="default" w:ascii="Times New Roman Regular" w:hAnsi="Times New Roman Regular" w:eastAsia="sans-serif" w:cs="Times New Roman Regular"/>
          <w:i w:val="0"/>
          <w:iCs w:val="0"/>
          <w:caps w:val="0"/>
          <w:color w:val="31333F"/>
          <w:spacing w:val="0"/>
          <w:sz w:val="24"/>
          <w:szCs w:val="24"/>
          <w:bdr w:val="none" w:color="auto" w:sz="0" w:space="0"/>
        </w:rPr>
        <w:drawing>
          <wp:inline distT="0" distB="0" distL="114300" distR="114300">
            <wp:extent cx="4323715" cy="2617470"/>
            <wp:effectExtent l="0" t="0" r="19685" b="24130"/>
            <wp:docPr id="28" name="Picture 28" descr="genes-15-01294-g00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enes-15-01294-g001-550"/>
                    <pic:cNvPicPr>
                      <a:picLocks noChangeAspect="1"/>
                    </pic:cNvPicPr>
                  </pic:nvPicPr>
                  <pic:blipFill>
                    <a:blip r:embed="rId10"/>
                    <a:stretch>
                      <a:fillRect/>
                    </a:stretch>
                  </pic:blipFill>
                  <pic:spPr>
                    <a:xfrm>
                      <a:off x="0" y="0"/>
                      <a:ext cx="4323715" cy="2617470"/>
                    </a:xfrm>
                    <a:prstGeom prst="rect">
                      <a:avLst/>
                    </a:prstGeom>
                  </pic:spPr>
                </pic:pic>
              </a:graphicData>
            </a:graphic>
          </wp:inline>
        </w:drawing>
      </w:r>
      <w:r>
        <w:rPr>
          <w:rFonts w:hint="default" w:ascii="Times New Roman Regular" w:hAnsi="Times New Roman Regular" w:eastAsia="sans-serif" w:cs="Times New Roman Regular"/>
          <w:i w:val="0"/>
          <w:iCs w:val="0"/>
          <w:caps w:val="0"/>
          <w:color w:val="31333F"/>
          <w:spacing w:val="0"/>
          <w:sz w:val="24"/>
          <w:szCs w:val="24"/>
          <w:bdr w:val="none" w:color="auto" w:sz="0" w:space="0"/>
        </w:rPr>
        <w:br w:type="textWrapping"/>
      </w: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Figure 1.2: Clinical Progression Across SMA Types</w:t>
      </w:r>
    </w:p>
    <w:p w14:paraId="5D87DB0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w:hAnsi="Times New Roman" w:cs="Times New Roman"/>
          <w:b/>
          <w:bCs/>
          <w:sz w:val="24"/>
          <w:szCs w:val="24"/>
          <w:lang w:val="en-US"/>
        </w:rPr>
      </w:pPr>
      <w:r>
        <w:rPr>
          <w:rStyle w:val="13"/>
          <w:rFonts w:hint="default" w:ascii="Times New Roman Regular" w:hAnsi="Times New Roman Regular" w:eastAsia="sans-serif" w:cs="Times New Roman Regular"/>
          <w:b w:val="0"/>
          <w:bCs w:val="0"/>
          <w:i w:val="0"/>
          <w:iCs w:val="0"/>
          <w:caps w:val="0"/>
          <w:color w:val="31333F"/>
          <w:spacing w:val="0"/>
          <w:sz w:val="24"/>
          <w:szCs w:val="24"/>
          <w:bdr w:val="none" w:color="auto" w:sz="0" w:space="0"/>
          <w:lang w:val="en-US"/>
        </w:rPr>
        <w:t xml:space="preserve">Source: </w:t>
      </w:r>
      <w:r>
        <w:rPr>
          <w:rStyle w:val="13"/>
          <w:rFonts w:hint="default" w:ascii="Times New Roman Italic" w:hAnsi="Times New Roman Italic" w:eastAsia="sans-serif" w:cs="Times New Roman Italic"/>
          <w:b w:val="0"/>
          <w:bCs w:val="0"/>
          <w:i/>
          <w:iCs/>
          <w:caps w:val="0"/>
          <w:color w:val="31333F"/>
          <w:spacing w:val="0"/>
          <w:sz w:val="24"/>
          <w:szCs w:val="24"/>
          <w:bdr w:val="none" w:color="auto" w:sz="0" w:space="0"/>
          <w:lang w:val="en-US"/>
        </w:rPr>
        <w:t>https://www.mdpi.com/2073-4425/15/10/1294</w:t>
      </w:r>
    </w:p>
    <w:p w14:paraId="165B6BB8">
      <w:pPr>
        <w:rPr>
          <w:rFonts w:hint="default"/>
          <w:lang w:val="en-US"/>
        </w:rPr>
      </w:pPr>
    </w:p>
    <w:p w14:paraId="71590A18">
      <w:pPr>
        <w:pStyle w:val="4"/>
        <w:keepNext w:val="0"/>
        <w:keepLines w:val="0"/>
        <w:widowControl/>
        <w:suppressLineNumbers w:val="0"/>
        <w:spacing w:line="480" w:lineRule="auto"/>
        <w:jc w:val="center"/>
        <w:rPr>
          <w:rStyle w:val="13"/>
          <w:rFonts w:hint="default" w:ascii="Times New Roman" w:hAnsi="Times New Roman" w:cs="Times New Roman"/>
          <w:b/>
          <w:bCs/>
          <w:sz w:val="24"/>
          <w:szCs w:val="24"/>
          <w:lang w:val="en-US"/>
        </w:rPr>
      </w:pPr>
      <w:r>
        <w:rPr>
          <w:rStyle w:val="13"/>
          <w:rFonts w:hint="default" w:ascii="Times New Roman" w:hAnsi="Times New Roman" w:cs="Times New Roman"/>
          <w:b/>
          <w:bCs/>
          <w:sz w:val="24"/>
          <w:szCs w:val="24"/>
          <w:lang w:val="en-US"/>
        </w:rPr>
        <w:t>CHAPTER 2</w:t>
      </w:r>
    </w:p>
    <w:p w14:paraId="14098E0C">
      <w:pPr>
        <w:pStyle w:val="4"/>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val="0"/>
          <w:bCs/>
          <w:spacing w:val="-1"/>
          <w:sz w:val="24"/>
          <w:szCs w:val="24"/>
        </w:rPr>
      </w:pPr>
      <w:r>
        <w:rPr>
          <w:rStyle w:val="13"/>
          <w:rFonts w:hint="default" w:ascii="Times New Roman Bold" w:hAnsi="Times New Roman Bold" w:eastAsia="sans-serif" w:cs="Times New Roman Bold"/>
          <w:b/>
          <w:bCs w:val="0"/>
          <w:i w:val="0"/>
          <w:iCs w:val="0"/>
          <w:color w:val="31333F"/>
          <w:spacing w:val="-1"/>
          <w:sz w:val="24"/>
          <w:szCs w:val="24"/>
        </w:rPr>
        <w:t>CURRENT PHARMACOLOGICAL MANAGEMENT</w:t>
      </w:r>
      <w:r>
        <w:rPr>
          <w:rFonts w:hint="default" w:ascii="Times New Roman Regular" w:hAnsi="Times New Roman Regular" w:eastAsia="sans-serif" w:cs="Times New Roman Regular"/>
          <w:b w:val="0"/>
          <w:bCs/>
          <w:i w:val="0"/>
          <w:iCs w:val="0"/>
          <w:caps w:val="0"/>
          <w:color w:val="0068C9"/>
          <w:spacing w:val="-1"/>
          <w:sz w:val="24"/>
          <w:szCs w:val="24"/>
          <w:u w:val="single"/>
        </w:rPr>
        <w:fldChar w:fldCharType="begin"/>
      </w:r>
      <w:r>
        <w:rPr>
          <w:rFonts w:hint="default" w:ascii="Times New Roman Regular" w:hAnsi="Times New Roman Regular" w:eastAsia="sans-serif" w:cs="Times New Roman Regular"/>
          <w:b w:val="0"/>
          <w:bCs/>
          <w:i w:val="0"/>
          <w:iCs w:val="0"/>
          <w:caps w:val="0"/>
          <w:color w:val="0068C9"/>
          <w:spacing w:val="-1"/>
          <w:sz w:val="24"/>
          <w:szCs w:val="24"/>
          <w:u w:val="single"/>
        </w:rPr>
        <w:instrText xml:space="preserve"> HYPERLINK "https://ptt-ai.streamlit.app/~/+/PTT_AI" \l "current-pharmacological-management" </w:instrText>
      </w:r>
      <w:r>
        <w:rPr>
          <w:rFonts w:hint="default" w:ascii="Times New Roman Regular" w:hAnsi="Times New Roman Regular" w:eastAsia="sans-serif" w:cs="Times New Roman Regular"/>
          <w:b w:val="0"/>
          <w:bCs/>
          <w:i w:val="0"/>
          <w:iCs w:val="0"/>
          <w:caps w:val="0"/>
          <w:color w:val="0068C9"/>
          <w:spacing w:val="-1"/>
          <w:sz w:val="24"/>
          <w:szCs w:val="24"/>
          <w:u w:val="single"/>
        </w:rPr>
        <w:fldChar w:fldCharType="separate"/>
      </w:r>
      <w:r>
        <w:rPr>
          <w:rFonts w:hint="default" w:ascii="Times New Roman Regular" w:hAnsi="Times New Roman Regular" w:eastAsia="sans-serif" w:cs="Times New Roman Regular"/>
          <w:b w:val="0"/>
          <w:bCs/>
          <w:i w:val="0"/>
          <w:iCs w:val="0"/>
          <w:caps w:val="0"/>
          <w:color w:val="0068C9"/>
          <w:spacing w:val="-1"/>
          <w:sz w:val="24"/>
          <w:szCs w:val="24"/>
          <w:u w:val="single"/>
        </w:rPr>
        <w:fldChar w:fldCharType="end"/>
      </w:r>
    </w:p>
    <w:p w14:paraId="001292E0">
      <w:pPr>
        <w:pStyle w:val="5"/>
        <w:keepNext w:val="0"/>
        <w:keepLines w:val="0"/>
        <w:widowControl/>
        <w:suppressLineNumbers w:val="0"/>
        <w:spacing w:before="0" w:beforeAutospacing="0" w:after="0" w:afterAutospacing="0" w:line="480" w:lineRule="auto"/>
        <w:ind w:left="0" w:right="0"/>
        <w:rPr>
          <w:rFonts w:hint="default" w:ascii="Times New Roman Regular" w:hAnsi="Times New Roman Regular" w:eastAsia="sans-serif" w:cs="Times New Roman Regular"/>
          <w:b w:val="0"/>
          <w:bCs/>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rPr>
        <w:t>2.1 Historical Evolution from Supportive Care to Disease-Modifying Therapies</w:t>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val="0"/>
          <w:bCs/>
          <w:i w:val="0"/>
          <w:iCs w:val="0"/>
          <w:caps w:val="0"/>
          <w:color w:val="0068C9"/>
          <w:spacing w:val="0"/>
          <w:sz w:val="24"/>
          <w:szCs w:val="24"/>
          <w:u w:val="single"/>
        </w:rPr>
        <w:instrText xml:space="preserve"> HYPERLINK "https://ptt-ai.streamlit.app/~/+/PTT_AI" \l "2-1-historical-evolution-from-supportive-care-to-disease-modifying-therapies" </w:instrText>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end"/>
      </w:r>
    </w:p>
    <w:p w14:paraId="76DEFC04">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rPr>
          <w:rFonts w:hint="default" w:ascii="Times New Roman Regular" w:hAnsi="Times New Roman Regular" w:eastAsia="sans-serif" w:cs="Times New Roman Regular"/>
          <w:b w:val="0"/>
          <w:i w:val="0"/>
          <w:iCs w:val="0"/>
          <w:caps w:val="0"/>
          <w:color w:val="31333F"/>
          <w:spacing w:val="0"/>
          <w:sz w:val="24"/>
          <w:szCs w:val="24"/>
        </w:rPr>
      </w:pP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The therapeutic paradigm for SMA shifted dramatically post-2016 with the FDA approval of nusinersen, the first antisense oligonucleotide targeting SMN2 splicing. This was followed by onasemnogene abeparvovec (gene therapy) in 2019 and risdiplam in 2020, marking a transition from symptom palliation to root-cause modification. These agents exploit the SMN2 "backup" gene to restore protein levels, with survival rates improving from &lt;2 years in Type 1 to over 90% at 2 years with early treatment (Finkel et al., 2017). Preclinical foundations, including mouse models (e.g., SMNΔ7 mice), validated SMN restoration as neuroprotective, paving the way for clinical translation (Monani et al., 2000).</w:t>
      </w:r>
    </w:p>
    <w:p w14:paraId="5B78A1E5">
      <w:pPr>
        <w:pStyle w:val="5"/>
        <w:keepNext w:val="0"/>
        <w:keepLines w:val="0"/>
        <w:widowControl/>
        <w:suppressLineNumbers w:val="0"/>
        <w:spacing w:before="0" w:beforeAutospacing="0" w:after="0" w:afterAutospacing="0" w:line="480" w:lineRule="auto"/>
        <w:ind w:left="0" w:right="0"/>
        <w:rPr>
          <w:rFonts w:hint="default" w:ascii="Times New Roman Regular" w:hAnsi="Times New Roman Regular" w:eastAsia="sans-serif" w:cs="Times New Roman Regular"/>
          <w:b w:val="0"/>
          <w:bCs/>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rPr>
        <w:t>2.2 Pharmacology of Risdiplam</w:t>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val="0"/>
          <w:bCs/>
          <w:i w:val="0"/>
          <w:iCs w:val="0"/>
          <w:caps w:val="0"/>
          <w:color w:val="0068C9"/>
          <w:spacing w:val="0"/>
          <w:sz w:val="24"/>
          <w:szCs w:val="24"/>
          <w:u w:val="single"/>
        </w:rPr>
        <w:instrText xml:space="preserve"> HYPERLINK "https://ptt-ai.streamlit.app/~/+/PTT_AI" \l "2-2-pharmacology-of-risdiplam" </w:instrText>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val="0"/>
          <w:bCs/>
          <w:i w:val="0"/>
          <w:iCs w:val="0"/>
          <w:caps w:val="0"/>
          <w:color w:val="0068C9"/>
          <w:spacing w:val="0"/>
          <w:sz w:val="24"/>
          <w:szCs w:val="24"/>
          <w:u w:val="single"/>
        </w:rPr>
        <w:fldChar w:fldCharType="end"/>
      </w:r>
    </w:p>
    <w:p w14:paraId="53B2D0D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rPr>
          <w:rFonts w:hint="default" w:ascii="Times New Roman Regular" w:hAnsi="Times New Roman Regular" w:eastAsia="sans-serif" w:cs="Times New Roman Regular"/>
          <w:b w:val="0"/>
          <w:i w:val="0"/>
          <w:iCs w:val="0"/>
          <w:caps w:val="0"/>
          <w:color w:val="31333F"/>
          <w:spacing w:val="0"/>
          <w:sz w:val="24"/>
          <w:szCs w:val="24"/>
        </w:rPr>
      </w:pP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Risdiplam (RG7916; Evrysdi®), developed by Roche/Genentech and PTAC Therapeutics, is a synthetic pyridazine derivative (molecular weight: 449.44 g/mol) approved for SMA in patients ≥2 months old. It represents a therapeutic class of small-molecule RNA splicing modulators, offering non-invasive administration (Hoy, 2021).</w:t>
      </w:r>
    </w:p>
    <w:p w14:paraId="6CC89973">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rPr>
          <w:rFonts w:hint="default" w:ascii="Times New Roman Regular" w:hAnsi="Times New Roman Regular" w:eastAsia="sans-serif" w:cs="Times New Roman Regular"/>
          <w:b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2.2.1 Mechanism of Action</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br w:type="textWrapping"/>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Risdiplam exerts its effect as a selective SMN2 splicing enhancer by binding with high affinity (Kd ~3 nM) to two distinct sites on SMN2 pre-mRNA: the 5' splice site of intron 7 (ISS-N1) and exonic splicing silencer/enhancer motifs in exon 7 (Ratni et al., 2018). This interaction recruits U1 snRNP and other spliceosomal components, shifting splicing dynamics to favor exon 7 inclusion by up to 2-3 fold in vitro and increasing full-length SMN mRNA by 1.5-2.5 fold in vivo. Consequently, SMN protein levels rise by 20-50% in blood and CSF within weeks, preserving motor neuron integrity and function. Unlike broader splicing modulators, risdiplam demonstrates specificity for SMN2, minimizing off-target effects on other transcripts (Palacino et al., 2015).</w:t>
      </w:r>
    </w:p>
    <w:p w14:paraId="2EED9146">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center"/>
        <w:rPr>
          <w:rFonts w:hint="default" w:ascii="Times New Roman Regular" w:hAnsi="Times New Roman Regular" w:eastAsia="sans-serif" w:cs="Times New Roman Regular"/>
          <w:b w:val="0"/>
          <w:i w:val="0"/>
          <w:iCs w:val="0"/>
          <w:caps w:val="0"/>
          <w:color w:val="31333F"/>
          <w:spacing w:val="0"/>
          <w:sz w:val="24"/>
          <w:szCs w:val="24"/>
        </w:rPr>
      </w:pPr>
      <w:r>
        <w:rPr>
          <w:rFonts w:hint="default" w:ascii="Times New Roman Regular" w:hAnsi="Times New Roman Regular" w:eastAsia="sans-serif" w:cs="Times New Roman Regular"/>
          <w:b w:val="0"/>
          <w:i w:val="0"/>
          <w:iCs w:val="0"/>
          <w:caps w:val="0"/>
          <w:color w:val="31333F"/>
          <w:spacing w:val="0"/>
          <w:sz w:val="24"/>
          <w:szCs w:val="24"/>
          <w:bdr w:val="none" w:color="auto" w:sz="0" w:space="0"/>
        </w:rPr>
        <w:drawing>
          <wp:inline distT="0" distB="0" distL="114300" distR="114300">
            <wp:extent cx="4321175" cy="3025140"/>
            <wp:effectExtent l="0" t="0" r="22225" b="22860"/>
            <wp:docPr id="34" name="Picture 34" descr="65dfadb144fcf60eb34db6e1_V2_1700593682341_34abaa43-5bbe-4cad-a91c-b4b919294667_HIGH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65dfadb144fcf60eb34db6e1_V2_1700593682341_34abaa43-5bbe-4cad-a91c-b4b919294667_HIGH_RES"/>
                    <pic:cNvPicPr>
                      <a:picLocks noChangeAspect="1"/>
                    </pic:cNvPicPr>
                  </pic:nvPicPr>
                  <pic:blipFill>
                    <a:blip r:embed="rId11"/>
                    <a:stretch>
                      <a:fillRect/>
                    </a:stretch>
                  </pic:blipFill>
                  <pic:spPr>
                    <a:xfrm>
                      <a:off x="0" y="0"/>
                      <a:ext cx="4321175" cy="3025140"/>
                    </a:xfrm>
                    <a:prstGeom prst="rect">
                      <a:avLst/>
                    </a:prstGeom>
                  </pic:spPr>
                </pic:pic>
              </a:graphicData>
            </a:graphic>
          </wp:inline>
        </w:drawing>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br w:type="textWrapping"/>
      </w: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Figure 2.1: Detailed Mechanism of Risdiplam on SMN2 Splicing</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br w:type="textWrapping"/>
      </w:r>
      <w:r>
        <w:rPr>
          <w:rStyle w:val="8"/>
          <w:rFonts w:hint="default" w:ascii="Times New Roman Regular" w:hAnsi="Times New Roman Regular" w:eastAsia="sans-serif" w:cs="Times New Roman Regular"/>
          <w:b w:val="0"/>
          <w:i w:val="0"/>
          <w:iCs w:val="0"/>
          <w:caps w:val="0"/>
          <w:color w:val="31333F"/>
          <w:spacing w:val="0"/>
          <w:sz w:val="24"/>
          <w:szCs w:val="24"/>
          <w:bdr w:val="none" w:color="auto" w:sz="0" w:space="0"/>
        </w:rPr>
        <w:t xml:space="preserve">Source: </w:t>
      </w:r>
      <w:r>
        <w:rPr>
          <w:rStyle w:val="8"/>
          <w:rFonts w:hint="default" w:ascii="Times New Roman Italic" w:hAnsi="Times New Roman Italic" w:eastAsia="sans-serif" w:cs="Times New Roman Italic"/>
          <w:b w:val="0"/>
          <w:i/>
          <w:iCs/>
          <w:caps w:val="0"/>
          <w:color w:val="31333F"/>
          <w:spacing w:val="0"/>
          <w:sz w:val="24"/>
          <w:szCs w:val="24"/>
          <w:bdr w:val="none" w:color="auto" w:sz="0" w:space="0"/>
        </w:rPr>
        <w:t>https://www.biorender.com/</w:t>
      </w:r>
    </w:p>
    <w:p w14:paraId="33095F22">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rPr>
          <w:rFonts w:hint="default" w:ascii="Times New Roman Bold" w:hAnsi="Times New Roman Bold" w:eastAsia="sans-serif" w:cs="Times New Roman Bold"/>
          <w:b/>
          <w:bCs w:val="0"/>
          <w:i w:val="0"/>
          <w:iCs w:val="0"/>
          <w:caps w:val="0"/>
          <w:color w:val="31333F"/>
          <w:spacing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2.2.2 Pharmacokinetics, Pharmacodynamics, and Toxicology</w:t>
      </w:r>
    </w:p>
    <w:p w14:paraId="1C58D7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rPr>
          <w:rFonts w:hint="default" w:ascii="Times New Roman Regular" w:hAnsi="Times New Roman Regular" w:cs="Times New Roman Regular"/>
          <w:b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Pharmacokinetics</w:t>
      </w:r>
      <w:r>
        <w:rPr>
          <w:rStyle w:val="13"/>
          <w:rFonts w:hint="default" w:ascii="Times New Roman Regular" w:hAnsi="Times New Roman Regular" w:eastAsia="sans-serif" w:cs="Times New Roman Regular"/>
          <w:b w:val="0"/>
          <w:bCs/>
          <w:i w:val="0"/>
          <w:iCs w:val="0"/>
          <w:caps w:val="0"/>
          <w:color w:val="31333F"/>
          <w:spacing w:val="0"/>
          <w:sz w:val="24"/>
          <w:szCs w:val="24"/>
          <w:bdr w:val="none" w:color="auto" w:sz="0" w:space="0"/>
        </w:rPr>
        <w:t>:</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 Risdiplam exhibits favorable oral bioavailability (~30-40%), rapid absorption (Tmax: 2-4 hours), and a half-life of ~60 hours, enabling steady-state levels within 4-7 days. It is 94% protein-bound, primarily metabolized via CYP3A and aldehyde oxidase in the liver, with biliary excretion as the main elimination route (minimal renal clearance: &lt;1%). Population PK modeling reveals linear kinetics across ages 2 months to adulthood, with no dose adjustments needed for mild hepatic/renal impairment, though caution is advised in severe cases (Ding et al., 2021).</w:t>
      </w:r>
    </w:p>
    <w:p w14:paraId="232BD21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rPr>
          <w:rFonts w:hint="default" w:ascii="Times New Roman Regular" w:hAnsi="Times New Roman Regular" w:cs="Times New Roman Regular"/>
          <w:b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Pharmacodynamics</w:t>
      </w:r>
      <w:r>
        <w:rPr>
          <w:rStyle w:val="13"/>
          <w:rFonts w:hint="default" w:ascii="Times New Roman Regular" w:hAnsi="Times New Roman Regular" w:eastAsia="sans-serif" w:cs="Times New Roman Regular"/>
          <w:b w:val="0"/>
          <w:bCs/>
          <w:i w:val="0"/>
          <w:iCs w:val="0"/>
          <w:caps w:val="0"/>
          <w:color w:val="31333F"/>
          <w:spacing w:val="0"/>
          <w:sz w:val="24"/>
          <w:szCs w:val="24"/>
          <w:bdr w:val="none" w:color="auto" w:sz="0" w:space="0"/>
        </w:rPr>
        <w:t>:</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 Dose-dependent increases in SMN protein (up to 2-fold in plasma, 1.3-fold in CSF) correlate with motor improvements (e.g., HFMSE score gains). Systemic exposure ensures CNS penetration via the blood-brain barrier and peripheral tissue modulation, including muscle and liver (Schuh et al., 2023).</w:t>
      </w:r>
    </w:p>
    <w:p w14:paraId="5E7B787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rPr>
          <w:rFonts w:hint="default" w:ascii="Times New Roman Regular" w:hAnsi="Times New Roman Regular" w:cs="Times New Roman Regular"/>
          <w:b w:val="0"/>
          <w:sz w:val="24"/>
          <w:szCs w:val="24"/>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Toxicology</w:t>
      </w:r>
      <w:r>
        <w:rPr>
          <w:rStyle w:val="13"/>
          <w:rFonts w:hint="default" w:ascii="Times New Roman Regular" w:hAnsi="Times New Roman Regular" w:eastAsia="sans-serif" w:cs="Times New Roman Regular"/>
          <w:b w:val="0"/>
          <w:bCs/>
          <w:i w:val="0"/>
          <w:iCs w:val="0"/>
          <w:caps w:val="0"/>
          <w:color w:val="31333F"/>
          <w:spacing w:val="0"/>
          <w:sz w:val="24"/>
          <w:szCs w:val="24"/>
          <w:bdr w:val="none" w:color="auto" w:sz="0" w:space="0"/>
        </w:rPr>
        <w:t>:</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 Preclinical studies in rodents and non-human primates showed no genotoxicity or carcinogenicity at therapeutic doses. Common adverse events (AEs) in trials include diarrhea (15-20%), fever (10-15%), and rash (5-10%), generally mild and transient. Hepatotoxicity (elevated ALT/AST) occurs in ~10%, resolving upon discontinuation. No teratogenic effects in animal models, but human pregnancy data are limited (Category Not Assigned); contraindicated in lactation due to excretion in milk. Drug interactions include CYP3A inducers (e.g., rifampin) reducing exposure by 50%, necessitating dose adjustments (Hoy, 2021; EMA, 2021).</w:t>
      </w:r>
    </w:p>
    <w:p w14:paraId="1F8C5212">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rPr>
          <w:rStyle w:val="13"/>
        </w:rPr>
      </w:pPr>
      <w:r>
        <w:rPr>
          <w:rStyle w:val="13"/>
          <w:rFonts w:hint="default" w:ascii="Times New Roman Bold" w:hAnsi="Times New Roman Bold" w:eastAsia="sans-serif" w:cs="Times New Roman Bold"/>
          <w:b/>
          <w:bCs w:val="0"/>
          <w:i w:val="0"/>
          <w:iCs w:val="0"/>
          <w:caps w:val="0"/>
          <w:color w:val="31333F"/>
          <w:spacing w:val="0"/>
          <w:sz w:val="24"/>
          <w:szCs w:val="24"/>
          <w:bdr w:val="none" w:color="auto" w:sz="0" w:space="0"/>
        </w:rPr>
        <w:t>2.2.3 Clinical Development and Dosing Regimen</w:t>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br w:type="textWrapping"/>
      </w:r>
      <w:r>
        <w:rPr>
          <w:rFonts w:hint="default" w:ascii="Times New Roman Regular" w:hAnsi="Times New Roman Regular" w:eastAsia="sans-serif" w:cs="Times New Roman Regular"/>
          <w:b w:val="0"/>
          <w:i w:val="0"/>
          <w:iCs w:val="0"/>
          <w:caps w:val="0"/>
          <w:color w:val="31333F"/>
          <w:spacing w:val="0"/>
          <w:sz w:val="24"/>
          <w:szCs w:val="24"/>
          <w:bdr w:val="none" w:color="auto" w:sz="0" w:space="0"/>
        </w:rPr>
        <w:t>Risdiplam's approval stemmed from the FIREFISH (Type 1, n=21) and SUNFISH (Types 2/3, n=180) pivotal trials, demonstrating significant motor gains versus historical controls (e.g., 41% of Type 1 infants sitting unsupported at 12 months; p&lt;0.001) (Baranello et al., 2021; Mercuri et al., 2021). Dosing: For ages 2 months to &lt;2 years, 0.15 mg/kg orally once daily for 2 months (loading), then 0.3 mg/kg/day; for ≥2 years, 5 mg/day (or 0.2 mg/kg if &lt;20 kg). Supplied as 60 mg/60 mL oral solution (strawberry-flavored powder for reconstitution), stored refrigerated, with administration via syringe/oral pipette. Monitoring includes baseline SMN levels, liver enzymes, and growth parameters.</w:t>
      </w:r>
    </w:p>
    <w:p w14:paraId="1AE61245">
      <w:pPr>
        <w:pStyle w:val="3"/>
        <w:keepNext w:val="0"/>
        <w:keepLines w:val="0"/>
        <w:widowControl/>
        <w:suppressLineNumbers w:val="0"/>
        <w:spacing w:line="480" w:lineRule="auto"/>
        <w:jc w:val="center"/>
        <w:rPr>
          <w:rStyle w:val="13"/>
          <w:rFonts w:hint="default" w:ascii="Times New Roman" w:hAnsi="Times New Roman" w:cs="Times New Roman"/>
          <w:b/>
          <w:bCs/>
          <w:sz w:val="24"/>
          <w:szCs w:val="24"/>
          <w:lang w:val="en-US"/>
        </w:rPr>
      </w:pPr>
      <w:r>
        <w:rPr>
          <w:rStyle w:val="13"/>
          <w:rFonts w:hint="default" w:ascii="Times New Roman" w:hAnsi="Times New Roman" w:cs="Times New Roman"/>
          <w:b/>
          <w:bCs/>
          <w:sz w:val="24"/>
          <w:szCs w:val="24"/>
          <w:lang w:val="en-US"/>
        </w:rPr>
        <w:t>CHAPTER 3</w:t>
      </w:r>
    </w:p>
    <w:p w14:paraId="34149876">
      <w:pPr>
        <w:pStyle w:val="4"/>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bCs/>
          <w:spacing w:val="-1"/>
          <w:sz w:val="24"/>
          <w:szCs w:val="24"/>
        </w:rPr>
      </w:pPr>
      <w:r>
        <w:rPr>
          <w:rStyle w:val="13"/>
          <w:rFonts w:hint="default" w:ascii="Times New Roman Bold" w:hAnsi="Times New Roman Bold" w:eastAsia="sans-serif" w:cs="Times New Roman Bold"/>
          <w:b/>
          <w:bCs/>
          <w:i w:val="0"/>
          <w:iCs w:val="0"/>
          <w:color w:val="31333F"/>
          <w:spacing w:val="-1"/>
          <w:sz w:val="24"/>
          <w:szCs w:val="24"/>
        </w:rPr>
        <w:t>COMPARATIVE ANALYSIS OF SMA THERAPIES</w:t>
      </w:r>
      <w:r>
        <w:rPr>
          <w:rFonts w:hint="default" w:ascii="Times New Roman Regular" w:hAnsi="Times New Roman Regular" w:eastAsia="sans-serif" w:cs="Times New Roman Regular"/>
          <w:b/>
          <w:bCs/>
          <w:i w:val="0"/>
          <w:iCs w:val="0"/>
          <w:caps w:val="0"/>
          <w:color w:val="0068C9"/>
          <w:spacing w:val="-1"/>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1"/>
          <w:sz w:val="24"/>
          <w:szCs w:val="24"/>
          <w:u w:val="single"/>
        </w:rPr>
        <w:instrText xml:space="preserve"> HYPERLINK "https://ptt-ai.streamlit.app/~/+/PTT_AI" \l "comparative-analysis-of-sma-therapies" </w:instrText>
      </w:r>
      <w:r>
        <w:rPr>
          <w:rFonts w:hint="default" w:ascii="Times New Roman Regular" w:hAnsi="Times New Roman Regular" w:eastAsia="sans-serif" w:cs="Times New Roman Regular"/>
          <w:b/>
          <w:bCs/>
          <w:i w:val="0"/>
          <w:iCs w:val="0"/>
          <w:caps w:val="0"/>
          <w:color w:val="0068C9"/>
          <w:spacing w:val="-1"/>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1"/>
          <w:sz w:val="24"/>
          <w:szCs w:val="24"/>
          <w:u w:val="single"/>
        </w:rPr>
        <w:fldChar w:fldCharType="end"/>
      </w:r>
    </w:p>
    <w:p w14:paraId="6C82C440">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3.1 Risdiplam versus Nusinersen versus Onasemnogene Abeparvovec</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"3-1-risdiplam-versus-nusinersen-versus-onasemnogene-abeparvovec"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4997568C">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The triad of FDA-approved SMA therapies diverges in molecular strategy, delivery, and applicability, enabling tailored selection.</w:t>
      </w:r>
    </w:p>
    <w:tbl>
      <w:tblPr>
        <w:tblW w:w="96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3"/>
        <w:gridCol w:w="1696"/>
        <w:gridCol w:w="3731"/>
        <w:gridCol w:w="2948"/>
      </w:tblGrid>
      <w:tr w14:paraId="4063DE16">
        <w:trPr>
          <w:trHeight w:val="1049" w:hRule="atLeast"/>
          <w:tblHeader/>
          <w:jc w:val="center"/>
        </w:trPr>
        <w:tc>
          <w:tcPr>
            <w:tcW w:w="0" w:type="auto"/>
            <w:shd w:val="clear"/>
            <w:vAlign w:val="center"/>
          </w:tcPr>
          <w:p w14:paraId="4ED1AA0F">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Feature</w:t>
            </w:r>
          </w:p>
        </w:tc>
        <w:tc>
          <w:tcPr>
            <w:tcW w:w="0" w:type="auto"/>
            <w:shd w:val="clear"/>
            <w:vAlign w:val="center"/>
          </w:tcPr>
          <w:p w14:paraId="7FB875F7">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Risdiplam (Evrysdi®)</w:t>
            </w:r>
          </w:p>
        </w:tc>
        <w:tc>
          <w:tcPr>
            <w:tcW w:w="0" w:type="auto"/>
            <w:shd w:val="clear"/>
            <w:vAlign w:val="center"/>
          </w:tcPr>
          <w:p w14:paraId="60F3739E">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Nusinersen (Spinraza®)</w:t>
            </w:r>
          </w:p>
        </w:tc>
        <w:tc>
          <w:tcPr>
            <w:tcW w:w="0" w:type="auto"/>
            <w:shd w:val="clear"/>
            <w:vAlign w:val="center"/>
          </w:tcPr>
          <w:p w14:paraId="479181E5">
            <w:pPr>
              <w:keepNext w:val="0"/>
              <w:keepLines w:val="0"/>
              <w:widowControl/>
              <w:suppressLineNumbers w:val="0"/>
              <w:spacing w:line="480" w:lineRule="auto"/>
              <w:jc w:val="center"/>
              <w:rPr>
                <w:rFonts w:hint="default" w:ascii="Times New Roman Regular" w:hAnsi="Times New Roman Regular" w:eastAsia="sans-serif" w:cs="Times New Roman Regular"/>
                <w:b/>
                <w:bCs/>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Onasemnogene Abeparvovec (Zolgensma®)</w:t>
            </w:r>
          </w:p>
        </w:tc>
      </w:tr>
      <w:tr w14:paraId="3E6DC0A5">
        <w:trPr>
          <w:trHeight w:val="1724" w:hRule="atLeast"/>
          <w:jc w:val="center"/>
        </w:trPr>
        <w:tc>
          <w:tcPr>
            <w:tcW w:w="0" w:type="auto"/>
            <w:shd w:val="clear"/>
            <w:vAlign w:val="center"/>
          </w:tcPr>
          <w:p w14:paraId="6D63421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Molecular Type</w:t>
            </w:r>
          </w:p>
        </w:tc>
        <w:tc>
          <w:tcPr>
            <w:tcW w:w="0" w:type="auto"/>
            <w:shd w:val="clear"/>
            <w:vAlign w:val="center"/>
          </w:tcPr>
          <w:p w14:paraId="59D55AA3">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Small-molecule splicing modifier</w:t>
            </w:r>
          </w:p>
        </w:tc>
        <w:tc>
          <w:tcPr>
            <w:tcW w:w="0" w:type="auto"/>
            <w:shd w:val="clear"/>
            <w:vAlign w:val="center"/>
          </w:tcPr>
          <w:p w14:paraId="1B97DA4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Antisense oligonucleotide (ASO)</w:t>
            </w:r>
          </w:p>
        </w:tc>
        <w:tc>
          <w:tcPr>
            <w:tcW w:w="0" w:type="auto"/>
            <w:shd w:val="clear"/>
            <w:vAlign w:val="center"/>
          </w:tcPr>
          <w:p w14:paraId="375B68A3">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AAV9-based gene therapy (SMN1 transgene)</w:t>
            </w:r>
          </w:p>
        </w:tc>
      </w:tr>
      <w:tr w14:paraId="1A5837D7">
        <w:trPr>
          <w:trHeight w:val="1049" w:hRule="atLeast"/>
          <w:jc w:val="center"/>
        </w:trPr>
        <w:tc>
          <w:tcPr>
            <w:tcW w:w="0" w:type="auto"/>
            <w:shd w:val="clear"/>
            <w:vAlign w:val="center"/>
          </w:tcPr>
          <w:p w14:paraId="60EFA60F">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Approval Year (FDA)</w:t>
            </w:r>
          </w:p>
        </w:tc>
        <w:tc>
          <w:tcPr>
            <w:tcW w:w="0" w:type="auto"/>
            <w:shd w:val="clear"/>
            <w:vAlign w:val="center"/>
          </w:tcPr>
          <w:p w14:paraId="5174705A">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2020</w:t>
            </w:r>
          </w:p>
        </w:tc>
        <w:tc>
          <w:tcPr>
            <w:tcW w:w="0" w:type="auto"/>
            <w:shd w:val="clear"/>
            <w:vAlign w:val="center"/>
          </w:tcPr>
          <w:p w14:paraId="3785C26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2016</w:t>
            </w:r>
          </w:p>
        </w:tc>
        <w:tc>
          <w:tcPr>
            <w:tcW w:w="0" w:type="auto"/>
            <w:shd w:val="clear"/>
            <w:vAlign w:val="center"/>
          </w:tcPr>
          <w:p w14:paraId="4D6C49A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2019</w:t>
            </w:r>
          </w:p>
        </w:tc>
      </w:tr>
      <w:tr w14:paraId="45288FD6">
        <w:trPr>
          <w:trHeight w:val="1724" w:hRule="atLeast"/>
          <w:jc w:val="center"/>
        </w:trPr>
        <w:tc>
          <w:tcPr>
            <w:tcW w:w="0" w:type="auto"/>
            <w:shd w:val="clear"/>
            <w:vAlign w:val="center"/>
          </w:tcPr>
          <w:p w14:paraId="593C55D8">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Mechanism</w:t>
            </w:r>
          </w:p>
        </w:tc>
        <w:tc>
          <w:tcPr>
            <w:tcW w:w="0" w:type="auto"/>
            <w:shd w:val="clear"/>
            <w:vAlign w:val="center"/>
          </w:tcPr>
          <w:p w14:paraId="270EF2B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Binds SMN2 pre-mRNA to promote exon 7 inclusion</w:t>
            </w:r>
          </w:p>
        </w:tc>
        <w:tc>
          <w:tcPr>
            <w:tcW w:w="0" w:type="auto"/>
            <w:shd w:val="clear"/>
            <w:vAlign w:val="center"/>
          </w:tcPr>
          <w:p w14:paraId="177E1264">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Steric blocking of ISS-N1 on SMN2 pre-mRNA</w:t>
            </w:r>
          </w:p>
        </w:tc>
        <w:tc>
          <w:tcPr>
            <w:tcW w:w="0" w:type="auto"/>
            <w:shd w:val="clear"/>
            <w:vAlign w:val="center"/>
          </w:tcPr>
          <w:p w14:paraId="55C44718">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Delivers functional SMN1 copy to motor neurons/muscles</w:t>
            </w:r>
          </w:p>
        </w:tc>
      </w:tr>
      <w:tr w14:paraId="7D47566F">
        <w:trPr>
          <w:trHeight w:val="1049" w:hRule="atLeast"/>
          <w:jc w:val="center"/>
        </w:trPr>
        <w:tc>
          <w:tcPr>
            <w:tcW w:w="0" w:type="auto"/>
            <w:shd w:val="clear"/>
            <w:vAlign w:val="center"/>
          </w:tcPr>
          <w:p w14:paraId="3F1C65B9">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Route &amp; Frequency</w:t>
            </w:r>
          </w:p>
        </w:tc>
        <w:tc>
          <w:tcPr>
            <w:tcW w:w="0" w:type="auto"/>
            <w:shd w:val="clear"/>
            <w:vAlign w:val="center"/>
          </w:tcPr>
          <w:p w14:paraId="30B6D34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Oral, daily</w:t>
            </w:r>
          </w:p>
        </w:tc>
        <w:tc>
          <w:tcPr>
            <w:tcW w:w="0" w:type="auto"/>
            <w:shd w:val="clear"/>
            <w:vAlign w:val="center"/>
          </w:tcPr>
          <w:p w14:paraId="508FCB4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Intrathecal (lumbar puncture), loading then q4 months</w:t>
            </w:r>
          </w:p>
        </w:tc>
        <w:tc>
          <w:tcPr>
            <w:tcW w:w="0" w:type="auto"/>
            <w:shd w:val="clear"/>
            <w:vAlign w:val="center"/>
          </w:tcPr>
          <w:p w14:paraId="21A3CC1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Single IV infusion (60 min)</w:t>
            </w:r>
          </w:p>
        </w:tc>
      </w:tr>
      <w:tr w14:paraId="6A8C39A7">
        <w:trPr>
          <w:trHeight w:val="1724" w:hRule="atLeast"/>
          <w:jc w:val="center"/>
        </w:trPr>
        <w:tc>
          <w:tcPr>
            <w:tcW w:w="0" w:type="auto"/>
            <w:shd w:val="clear"/>
            <w:vAlign w:val="center"/>
          </w:tcPr>
          <w:p w14:paraId="53336E7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Distribution</w:t>
            </w:r>
          </w:p>
        </w:tc>
        <w:tc>
          <w:tcPr>
            <w:tcW w:w="0" w:type="auto"/>
            <w:shd w:val="clear"/>
            <w:vAlign w:val="center"/>
          </w:tcPr>
          <w:p w14:paraId="121A082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Systemic (CNS + peripheral tissues)</w:t>
            </w:r>
          </w:p>
        </w:tc>
        <w:tc>
          <w:tcPr>
            <w:tcW w:w="0" w:type="auto"/>
            <w:shd w:val="clear"/>
            <w:vAlign w:val="center"/>
          </w:tcPr>
          <w:p w14:paraId="23C7DDD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Primarily CNS (limited peripheral)</w:t>
            </w:r>
          </w:p>
        </w:tc>
        <w:tc>
          <w:tcPr>
            <w:tcW w:w="0" w:type="auto"/>
            <w:shd w:val="clear"/>
            <w:vAlign w:val="center"/>
          </w:tcPr>
          <w:p w14:paraId="67B9279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Systemic (CNS + peripheral via AAV9 tropism)</w:t>
            </w:r>
          </w:p>
        </w:tc>
      </w:tr>
      <w:tr w14:paraId="736F5763">
        <w:trPr>
          <w:trHeight w:val="1049" w:hRule="atLeast"/>
          <w:jc w:val="center"/>
        </w:trPr>
        <w:tc>
          <w:tcPr>
            <w:tcW w:w="0" w:type="auto"/>
            <w:shd w:val="clear"/>
            <w:vAlign w:val="center"/>
          </w:tcPr>
          <w:p w14:paraId="421FABC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SMN Increase</w:t>
            </w:r>
          </w:p>
        </w:tc>
        <w:tc>
          <w:tcPr>
            <w:tcW w:w="0" w:type="auto"/>
            <w:shd w:val="clear"/>
            <w:vAlign w:val="center"/>
          </w:tcPr>
          <w:p w14:paraId="4D0498F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1.5-2.5x in blood/CSF</w:t>
            </w:r>
          </w:p>
        </w:tc>
        <w:tc>
          <w:tcPr>
            <w:tcW w:w="0" w:type="auto"/>
            <w:shd w:val="clear"/>
            <w:vAlign w:val="center"/>
          </w:tcPr>
          <w:p w14:paraId="61FACA8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2-5x in CSF</w:t>
            </w:r>
          </w:p>
        </w:tc>
        <w:tc>
          <w:tcPr>
            <w:tcW w:w="0" w:type="auto"/>
            <w:shd w:val="clear"/>
            <w:vAlign w:val="center"/>
          </w:tcPr>
          <w:p w14:paraId="24CF437C">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Sustained 10-100x in tissues (long-term)</w:t>
            </w:r>
          </w:p>
        </w:tc>
      </w:tr>
      <w:tr w14:paraId="3B8704C2">
        <w:trPr>
          <w:trHeight w:val="1049" w:hRule="atLeast"/>
          <w:jc w:val="center"/>
        </w:trPr>
        <w:tc>
          <w:tcPr>
            <w:tcW w:w="0" w:type="auto"/>
            <w:shd w:val="clear"/>
            <w:vAlign w:val="center"/>
          </w:tcPr>
          <w:p w14:paraId="2F553D3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Age/Weight Indication</w:t>
            </w:r>
          </w:p>
        </w:tc>
        <w:tc>
          <w:tcPr>
            <w:tcW w:w="0" w:type="auto"/>
            <w:shd w:val="clear"/>
            <w:vAlign w:val="center"/>
          </w:tcPr>
          <w:p w14:paraId="1782A8EC">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 months, no upper limit</w:t>
            </w:r>
          </w:p>
        </w:tc>
        <w:tc>
          <w:tcPr>
            <w:tcW w:w="0" w:type="auto"/>
            <w:shd w:val="clear"/>
            <w:vAlign w:val="center"/>
          </w:tcPr>
          <w:p w14:paraId="0CE5CC47">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All ages</w:t>
            </w:r>
          </w:p>
        </w:tc>
        <w:tc>
          <w:tcPr>
            <w:tcW w:w="0" w:type="auto"/>
            <w:shd w:val="clear"/>
            <w:vAlign w:val="center"/>
          </w:tcPr>
          <w:p w14:paraId="61AF550C">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&lt;2 years or ≤21 kg (presymptomatic/symptomatic)</w:t>
            </w:r>
          </w:p>
        </w:tc>
      </w:tr>
      <w:tr w14:paraId="23BF7571">
        <w:trPr>
          <w:trHeight w:val="1314" w:hRule="atLeast"/>
          <w:jc w:val="center"/>
        </w:trPr>
        <w:tc>
          <w:tcPr>
            <w:tcW w:w="0" w:type="auto"/>
            <w:shd w:val="clear"/>
            <w:vAlign w:val="center"/>
          </w:tcPr>
          <w:p w14:paraId="62373E2C">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Cost (Annual Est.)</w:t>
            </w:r>
          </w:p>
        </w:tc>
        <w:tc>
          <w:tcPr>
            <w:tcW w:w="0" w:type="auto"/>
            <w:shd w:val="clear"/>
            <w:vAlign w:val="center"/>
          </w:tcPr>
          <w:p w14:paraId="2EFB526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$340,000 (lifelong)</w:t>
            </w:r>
          </w:p>
        </w:tc>
        <w:tc>
          <w:tcPr>
            <w:tcW w:w="0" w:type="auto"/>
            <w:shd w:val="clear"/>
            <w:vAlign w:val="center"/>
          </w:tcPr>
          <w:p w14:paraId="3835B8B8">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Times New Roman" w:cs="Times New Roman Regular"/>
                <w:i w:val="0"/>
                <w:iCs w:val="0"/>
                <w:caps w:val="0"/>
                <w:color w:val="31333F"/>
                <w:spacing w:val="0"/>
                <w:kern w:val="0"/>
                <w:sz w:val="21"/>
                <w:szCs w:val="21"/>
                <w:bdr w:val="none" w:color="auto" w:sz="0" w:space="0"/>
                <w:lang w:val="en-US" w:eastAsia="zh-CN" w:bidi="ar"/>
              </w:rPr>
              <w:t>750,000firstyear,</w:t>
            </w:r>
            <w:r>
              <w:rPr>
                <w:rFonts w:hint="default" w:ascii="Times New Roman Regular" w:hAnsi="Times New Roman Regular" w:eastAsia="Times New Roman" w:cs="Times New Roman Regular"/>
                <w:i w:val="0"/>
                <w:iCs w:val="0"/>
                <w:caps w:val="0"/>
                <w:color w:val="31333F"/>
                <w:spacing w:val="0"/>
                <w:kern w:val="0"/>
                <w:sz w:val="21"/>
                <w:szCs w:val="21"/>
                <w:lang w:val="en-US" w:eastAsia="zh-CN" w:bidi="ar"/>
              </w:rPr>
              <w:t>750,000</w:t>
            </w:r>
            <w:r>
              <w:rPr>
                <w:rFonts w:hint="default" w:ascii="Times New Roman Regular" w:hAnsi="Times New Roman Regular" w:eastAsia="KaTeX_Math" w:cs="Times New Roman Regular"/>
                <w:i/>
                <w:iCs/>
                <w:caps w:val="0"/>
                <w:color w:val="31333F"/>
                <w:spacing w:val="0"/>
                <w:kern w:val="0"/>
                <w:sz w:val="21"/>
                <w:szCs w:val="21"/>
                <w:lang w:val="en-US" w:eastAsia="zh-CN" w:bidi="ar"/>
              </w:rPr>
              <w:t>firstyear</w:t>
            </w:r>
            <w:r>
              <w:rPr>
                <w:rFonts w:hint="default" w:ascii="Times New Roman Regular" w:hAnsi="Times New Roman Regular" w:eastAsia="Times New Roman" w:cs="Times New Roman Regular"/>
                <w:i w:val="0"/>
                <w:iCs w:val="0"/>
                <w:caps w:val="0"/>
                <w:color w:val="31333F"/>
                <w:spacing w:val="0"/>
                <w:kern w:val="0"/>
                <w:sz w:val="21"/>
                <w:szCs w:val="21"/>
                <w:lang w:val="en-US" w:eastAsia="zh-CN" w:bidi="ar"/>
              </w:rPr>
              <w:t>,</w:t>
            </w: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375,000 maintenance</w:t>
            </w:r>
          </w:p>
        </w:tc>
        <w:tc>
          <w:tcPr>
            <w:tcW w:w="0" w:type="auto"/>
            <w:shd w:val="clear"/>
            <w:vAlign w:val="center"/>
          </w:tcPr>
          <w:p w14:paraId="59F6582F">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$2.1 million (one-time)</w:t>
            </w:r>
          </w:p>
        </w:tc>
      </w:tr>
      <w:tr w14:paraId="3231D9FA">
        <w:trPr>
          <w:trHeight w:val="2134" w:hRule="atLeast"/>
          <w:jc w:val="center"/>
        </w:trPr>
        <w:tc>
          <w:tcPr>
            <w:tcW w:w="0" w:type="auto"/>
            <w:shd w:val="clear"/>
            <w:vAlign w:val="center"/>
          </w:tcPr>
          <w:p w14:paraId="49D222F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Key Advantages</w:t>
            </w:r>
          </w:p>
        </w:tc>
        <w:tc>
          <w:tcPr>
            <w:tcW w:w="0" w:type="auto"/>
            <w:shd w:val="clear"/>
            <w:vAlign w:val="center"/>
          </w:tcPr>
          <w:p w14:paraId="39BAA27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Non-invasive, home administration, broad age range</w:t>
            </w:r>
          </w:p>
        </w:tc>
        <w:tc>
          <w:tcPr>
            <w:tcW w:w="0" w:type="auto"/>
            <w:shd w:val="clear"/>
            <w:vAlign w:val="center"/>
          </w:tcPr>
          <w:p w14:paraId="0E0AB28D">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Proven in infants, intrathecal delivery bypasses BBB</w:t>
            </w:r>
          </w:p>
        </w:tc>
        <w:tc>
          <w:tcPr>
            <w:tcW w:w="0" w:type="auto"/>
            <w:shd w:val="clear"/>
            <w:vAlign w:val="center"/>
          </w:tcPr>
          <w:p w14:paraId="0E050E00">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Potential one-time cure, no ongoing dosing</w:t>
            </w:r>
          </w:p>
        </w:tc>
      </w:tr>
      <w:tr w14:paraId="639623AF">
        <w:trPr>
          <w:trHeight w:val="1724" w:hRule="atLeast"/>
          <w:jc w:val="center"/>
        </w:trPr>
        <w:tc>
          <w:tcPr>
            <w:tcW w:w="0" w:type="auto"/>
            <w:shd w:val="clear"/>
            <w:vAlign w:val="center"/>
          </w:tcPr>
          <w:p w14:paraId="2C28F34E">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Style w:val="13"/>
                <w:rFonts w:hint="default" w:ascii="Times New Roman Regular" w:hAnsi="Times New Roman Regular" w:eastAsia="sans-serif" w:cs="Times New Roman Regular"/>
                <w:b/>
                <w:bCs/>
                <w:i w:val="0"/>
                <w:iCs w:val="0"/>
                <w:caps w:val="0"/>
                <w:color w:val="31333F"/>
                <w:spacing w:val="0"/>
                <w:kern w:val="0"/>
                <w:sz w:val="21"/>
                <w:szCs w:val="21"/>
                <w:lang w:val="en-US" w:eastAsia="zh-CN" w:bidi="ar"/>
              </w:rPr>
              <w:t>Key Limitations</w:t>
            </w:r>
          </w:p>
        </w:tc>
        <w:tc>
          <w:tcPr>
            <w:tcW w:w="0" w:type="auto"/>
            <w:shd w:val="clear"/>
            <w:vAlign w:val="center"/>
          </w:tcPr>
          <w:p w14:paraId="0C4EF7E5">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Daily adherence, drug interactions</w:t>
            </w:r>
          </w:p>
        </w:tc>
        <w:tc>
          <w:tcPr>
            <w:tcW w:w="0" w:type="auto"/>
            <w:shd w:val="clear"/>
            <w:vAlign w:val="center"/>
          </w:tcPr>
          <w:p w14:paraId="4F06652A">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Invasive procedures, procedure-related AEs</w:t>
            </w:r>
          </w:p>
        </w:tc>
        <w:tc>
          <w:tcPr>
            <w:tcW w:w="0" w:type="auto"/>
            <w:shd w:val="clear"/>
            <w:vAlign w:val="center"/>
          </w:tcPr>
          <w:p w14:paraId="2E48489B">
            <w:pPr>
              <w:keepNext w:val="0"/>
              <w:keepLines w:val="0"/>
              <w:widowControl/>
              <w:suppressLineNumbers w:val="0"/>
              <w:spacing w:line="480" w:lineRule="auto"/>
              <w:jc w:val="center"/>
              <w:rPr>
                <w:rFonts w:hint="default" w:ascii="Times New Roman Regular" w:hAnsi="Times New Roman Regular" w:eastAsia="sans-serif" w:cs="Times New Roman Regular"/>
                <w:i w:val="0"/>
                <w:iCs w:val="0"/>
                <w:caps w:val="0"/>
                <w:color w:val="31333F"/>
                <w:spacing w:val="0"/>
                <w:sz w:val="21"/>
                <w:szCs w:val="21"/>
              </w:rPr>
            </w:pPr>
            <w:r>
              <w:rPr>
                <w:rFonts w:hint="default" w:ascii="Times New Roman Regular" w:hAnsi="Times New Roman Regular" w:eastAsia="sans-serif" w:cs="Times New Roman Regular"/>
                <w:i w:val="0"/>
                <w:iCs w:val="0"/>
                <w:caps w:val="0"/>
                <w:color w:val="31333F"/>
                <w:spacing w:val="0"/>
                <w:kern w:val="0"/>
                <w:sz w:val="21"/>
                <w:szCs w:val="21"/>
                <w:lang w:val="en-US" w:eastAsia="zh-CN" w:bidi="ar"/>
              </w:rPr>
              <w:t>Hepatotoxicity, AAV immunogenicity, weight cap</w:t>
            </w:r>
          </w:p>
        </w:tc>
      </w:tr>
    </w:tbl>
    <w:p w14:paraId="3DB9DD7F">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 xml:space="preserve">Table 3.1: Comprehensive Comparison of SMA Therapies </w:t>
      </w:r>
    </w:p>
    <w:p w14:paraId="0466C7EC">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Italic" w:hAnsi="Times New Roman Italic" w:eastAsia="sans-serif" w:cs="Times New Roman Italic"/>
          <w:b w:val="0"/>
          <w:bCs w:val="0"/>
          <w:i/>
          <w:iCs/>
          <w:caps w:val="0"/>
          <w:color w:val="31333F"/>
          <w:spacing w:val="0"/>
          <w:sz w:val="24"/>
          <w:szCs w:val="24"/>
          <w:bdr w:val="none" w:color="auto" w:sz="0" w:space="0"/>
        </w:rPr>
      </w:pPr>
      <w:r>
        <w:rPr>
          <w:rStyle w:val="13"/>
          <w:rFonts w:hint="default" w:ascii="Times New Roman Italic" w:hAnsi="Times New Roman Italic" w:eastAsia="sans-serif" w:cs="Times New Roman Italic"/>
          <w:b w:val="0"/>
          <w:bCs w:val="0"/>
          <w:i/>
          <w:iCs/>
          <w:caps w:val="0"/>
          <w:color w:val="31333F"/>
          <w:spacing w:val="0"/>
          <w:sz w:val="24"/>
          <w:szCs w:val="24"/>
          <w:bdr w:val="none" w:color="auto" w:sz="0" w:space="0"/>
        </w:rPr>
        <w:t>(Adapted from Baranello et al., 2021; Hoy, 2021; Dabbous et al., 2019; EMA, 2021)</w:t>
      </w:r>
    </w:p>
    <w:p w14:paraId="1BF71FD9">
      <w:pPr>
        <w:pStyle w:val="12"/>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jc w:val="center"/>
        <w:rPr>
          <w:rStyle w:val="13"/>
          <w:rFonts w:hint="default" w:ascii="Times New Roman Italic" w:hAnsi="Times New Roman Italic" w:eastAsia="sans-serif" w:cs="Times New Roman Italic"/>
          <w:b w:val="0"/>
          <w:bCs w:val="0"/>
          <w:i/>
          <w:iCs/>
          <w:caps w:val="0"/>
          <w:color w:val="31333F"/>
          <w:spacing w:val="0"/>
          <w:sz w:val="24"/>
          <w:szCs w:val="24"/>
          <w:bdr w:val="none" w:color="auto" w:sz="0" w:space="0"/>
        </w:rPr>
      </w:pPr>
    </w:p>
    <w:p w14:paraId="61817DA4">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3.2 Efficacy and Safety Profiles from Key Clinical Trials</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"3-2-efficacy-and-safety-profiles-from-key-clinical-trials"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7AA39D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Risdiplam:</w:t>
      </w:r>
      <w:r>
        <w:rPr>
          <w:rFonts w:hint="default" w:ascii="Times New Roman Regular" w:hAnsi="Times New Roman Regular" w:eastAsia="sans-serif" w:cs="Times New Roman Regular"/>
          <w:i w:val="0"/>
          <w:iCs w:val="0"/>
          <w:caps w:val="0"/>
          <w:color w:val="31333F"/>
          <w:spacing w:val="0"/>
          <w:sz w:val="24"/>
          <w:szCs w:val="24"/>
          <w:bdr w:val="none" w:color="auto" w:sz="0" w:space="0"/>
        </w:rPr>
        <w:t> FIREFISH (Part 2): 29% of Type 1 patients achieved ventilation-free survival vs. 0% historical; SUNFISH: +1.6 point HFMSE improvement (p=0.015). Safety: 8% serious AEs (respiratory infections).</w:t>
      </w:r>
    </w:p>
    <w:p w14:paraId="710A37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Nusinersen:</w:t>
      </w:r>
      <w:r>
        <w:rPr>
          <w:rFonts w:hint="default" w:ascii="Times New Roman Regular" w:hAnsi="Times New Roman Regular" w:eastAsia="sans-serif" w:cs="Times New Roman Regular"/>
          <w:i w:val="0"/>
          <w:iCs w:val="0"/>
          <w:caps w:val="0"/>
          <w:color w:val="31333F"/>
          <w:spacing w:val="0"/>
          <w:sz w:val="24"/>
          <w:szCs w:val="24"/>
          <w:bdr w:val="none" w:color="auto" w:sz="0" w:space="0"/>
        </w:rPr>
        <w:t> ENDEAR trial: +5.9 HFMSE points in Type 1 (p&lt;0.001); CHERISH: +3.9 points in Type 2/3. Safety: Hydrocephalus risk (5%), thrombocytopenia.</w:t>
      </w:r>
    </w:p>
    <w:p w14:paraId="24FA9E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42" w:beforeAutospacing="0" w:after="42" w:afterAutospacing="0" w:line="480" w:lineRule="auto"/>
        <w:ind w:left="420" w:leftChars="0" w:right="0" w:rightChars="0" w:hanging="420"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Onasemnogene Abeparvovec:</w:t>
      </w:r>
      <w:r>
        <w:rPr>
          <w:rFonts w:hint="default" w:ascii="Times New Roman Regular" w:hAnsi="Times New Roman Regular" w:eastAsia="sans-serif" w:cs="Times New Roman Regular"/>
          <w:i w:val="0"/>
          <w:iCs w:val="0"/>
          <w:caps w:val="0"/>
          <w:color w:val="31333F"/>
          <w:spacing w:val="0"/>
          <w:sz w:val="24"/>
          <w:szCs w:val="24"/>
          <w:bdr w:val="none" w:color="auto" w:sz="0" w:space="0"/>
        </w:rPr>
        <w:t> STR1VE: 14/15 Type 1 infants alive/sitting at 14 months (vs. 0% historical). Safety: ALT elevations (100%), requiring steroids; rare thrombotic microangiopathy.</w:t>
      </w:r>
    </w:p>
    <w:p w14:paraId="2BBAF926">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Indirect comparisons suggest comparable short-term motor benefits, with risdiplam excelling in accessibility (Mercuri et al., 2022).</w:t>
      </w:r>
    </w:p>
    <w:p w14:paraId="1D799866">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3.3 Therapeutic Decision-Making and Patient-Centered Considerations</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"3-3-therapeutic-decision-making-and-patient-centered-considerations"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2FDD5D71">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Selection hinges on SMA type, age at diagnosis, SMN2 copies, comorbidities, and logistics. Risdiplam suits non-ambulatory patients or those averse to injections; nusinersen for early CNS-focused intervention; Zolgensma for infants eligible for one-time therapy. Cost-effectiveness analyses favor risdiplam in resource-limited settings due to lower procedural expenses (Benedetto et al., 2023). Patient registries (e.g., SMN2 Project) guide real-world optimization.</w:t>
      </w:r>
    </w:p>
    <w:p w14:paraId="0B7DB1DF">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6123D0D9">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78A5F091">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209160E">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F6E7B8D">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14746AEB">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5A00ED09">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39661225">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19F1B8D">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CEDBD96">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6A82BD96">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F2ABA4F">
      <w:pPr>
        <w:pStyle w:val="4"/>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bCs/>
          <w:spacing w:val="-1"/>
          <w:sz w:val="24"/>
          <w:szCs w:val="24"/>
        </w:rPr>
      </w:pPr>
      <w:r>
        <w:rPr>
          <w:rStyle w:val="13"/>
          <w:rFonts w:hint="default" w:ascii="Times New Roman Regular" w:hAnsi="Times New Roman Regular" w:eastAsia="sans-serif" w:cs="Times New Roman Regular"/>
          <w:b/>
          <w:bCs/>
          <w:i w:val="0"/>
          <w:iCs w:val="0"/>
          <w:color w:val="31333F"/>
          <w:spacing w:val="-1"/>
          <w:sz w:val="24"/>
          <w:szCs w:val="24"/>
        </w:rPr>
        <w:t>CHAPTER 4</w:t>
      </w:r>
      <w:r>
        <w:rPr>
          <w:rFonts w:hint="default" w:ascii="Times New Roman Regular" w:hAnsi="Times New Roman Regular" w:eastAsia="sans-serif" w:cs="Times New Roman Regular"/>
          <w:b/>
          <w:bCs/>
          <w:i w:val="0"/>
          <w:iCs w:val="0"/>
          <w:color w:val="0068C9"/>
          <w:spacing w:val="-1"/>
          <w:sz w:val="24"/>
          <w:szCs w:val="24"/>
          <w:u w:val="single"/>
        </w:rPr>
        <w:fldChar w:fldCharType="begin"/>
      </w:r>
      <w:r>
        <w:rPr>
          <w:rFonts w:hint="default" w:ascii="Times New Roman Regular" w:hAnsi="Times New Roman Regular" w:eastAsia="sans-serif" w:cs="Times New Roman Regular"/>
          <w:b/>
          <w:bCs/>
          <w:i w:val="0"/>
          <w:iCs w:val="0"/>
          <w:color w:val="0068C9"/>
          <w:spacing w:val="-1"/>
          <w:sz w:val="24"/>
          <w:szCs w:val="24"/>
          <w:u w:val="single"/>
        </w:rPr>
        <w:instrText xml:space="preserve"> HYPERLINK "https://ptt-ai.streamlit.app/~/+/PTT_AI" \l "chapter-4" </w:instrText>
      </w:r>
      <w:r>
        <w:rPr>
          <w:rFonts w:hint="default" w:ascii="Times New Roman Regular" w:hAnsi="Times New Roman Regular" w:eastAsia="sans-serif" w:cs="Times New Roman Regular"/>
          <w:b/>
          <w:bCs/>
          <w:i w:val="0"/>
          <w:iCs w:val="0"/>
          <w:color w:val="0068C9"/>
          <w:spacing w:val="-1"/>
          <w:sz w:val="24"/>
          <w:szCs w:val="24"/>
          <w:u w:val="single"/>
        </w:rPr>
        <w:fldChar w:fldCharType="separate"/>
      </w:r>
      <w:r>
        <w:rPr>
          <w:rFonts w:hint="default" w:ascii="Times New Roman Regular" w:hAnsi="Times New Roman Regular" w:eastAsia="sans-serif" w:cs="Times New Roman Regular"/>
          <w:b/>
          <w:bCs/>
          <w:i w:val="0"/>
          <w:iCs w:val="0"/>
          <w:color w:val="0068C9"/>
          <w:spacing w:val="-1"/>
          <w:sz w:val="24"/>
          <w:szCs w:val="24"/>
          <w:u w:val="single"/>
        </w:rPr>
        <w:fldChar w:fldCharType="end"/>
      </w:r>
    </w:p>
    <w:p w14:paraId="02423AD7">
      <w:pPr>
        <w:pStyle w:val="4"/>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bCs/>
          <w:spacing w:val="-1"/>
          <w:sz w:val="24"/>
          <w:szCs w:val="24"/>
        </w:rPr>
      </w:pPr>
      <w:r>
        <w:rPr>
          <w:rStyle w:val="13"/>
          <w:rFonts w:hint="default" w:ascii="Times New Roman Regular" w:hAnsi="Times New Roman Regular" w:eastAsia="sans-serif" w:cs="Times New Roman Regular"/>
          <w:b/>
          <w:bCs/>
          <w:i w:val="0"/>
          <w:iCs w:val="0"/>
          <w:color w:val="31333F"/>
          <w:spacing w:val="-1"/>
          <w:sz w:val="24"/>
          <w:szCs w:val="24"/>
        </w:rPr>
        <w:t>RECENT ADVANCEMENTS, CHALLENGES, AND FUTURE PROSPECTS</w:t>
      </w:r>
      <w:r>
        <w:rPr>
          <w:rFonts w:hint="default" w:ascii="Times New Roman Regular" w:hAnsi="Times New Roman Regular" w:eastAsia="sans-serif" w:cs="Times New Roman Regular"/>
          <w:b/>
          <w:bCs/>
          <w:i w:val="0"/>
          <w:iCs w:val="0"/>
          <w:caps w:val="0"/>
          <w:color w:val="0068C9"/>
          <w:spacing w:val="-1"/>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1"/>
          <w:sz w:val="24"/>
          <w:szCs w:val="24"/>
          <w:u w:val="single"/>
        </w:rPr>
        <w:instrText xml:space="preserve"> HYPERLINK "https://ptt-ai.streamlit.app/~/+/PTT_AI" \l "recent-advancements-challenges-and-future-prospects" </w:instrText>
      </w:r>
      <w:r>
        <w:rPr>
          <w:rFonts w:hint="default" w:ascii="Times New Roman Regular" w:hAnsi="Times New Roman Regular" w:eastAsia="sans-serif" w:cs="Times New Roman Regular"/>
          <w:b/>
          <w:bCs/>
          <w:i w:val="0"/>
          <w:iCs w:val="0"/>
          <w:caps w:val="0"/>
          <w:color w:val="0068C9"/>
          <w:spacing w:val="-1"/>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1"/>
          <w:sz w:val="24"/>
          <w:szCs w:val="24"/>
          <w:u w:val="single"/>
        </w:rPr>
        <w:fldChar w:fldCharType="end"/>
      </w:r>
    </w:p>
    <w:p w14:paraId="76EFE22B">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4.1 Recent Advancements in Risdiplam Research and Clinical Evidence</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"4-1-recent-advancements-in-risdiplam-research-and-clinical-evidence"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7BBCA1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Real-World Data:</w:t>
      </w:r>
      <w:r>
        <w:rPr>
          <w:rFonts w:hint="default" w:ascii="Times New Roman Regular" w:hAnsi="Times New Roman Regular" w:eastAsia="sans-serif" w:cs="Times New Roman Regular"/>
          <w:i w:val="0"/>
          <w:iCs w:val="0"/>
          <w:caps w:val="0"/>
          <w:color w:val="31333F"/>
          <w:spacing w:val="0"/>
          <w:sz w:val="24"/>
          <w:szCs w:val="24"/>
          <w:bdr w:val="none" w:color="auto" w:sz="0" w:space="0"/>
        </w:rPr>
        <w:t> The JEWELFISH study (n=231, diverse SMA types) reported motor stabilization in 80% of treated patients, with SMN increases persisting up to 24 months; adherence &gt;95% due to oral route (Darras et al., 2023).</w:t>
      </w:r>
    </w:p>
    <w:p w14:paraId="2214196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Presymptomatic Treatment:</w:t>
      </w:r>
      <w:r>
        <w:rPr>
          <w:rFonts w:hint="default" w:ascii="Times New Roman Regular" w:hAnsi="Times New Roman Regular" w:eastAsia="sans-serif" w:cs="Times New Roman Regular"/>
          <w:i w:val="0"/>
          <w:iCs w:val="0"/>
          <w:caps w:val="0"/>
          <w:color w:val="31333F"/>
          <w:spacing w:val="0"/>
          <w:sz w:val="24"/>
          <w:szCs w:val="24"/>
          <w:bdr w:val="none" w:color="auto" w:sz="0" w:space="0"/>
        </w:rPr>
        <w:t> RAINBOWFISH (presymptomatic, n=279) interim data (2024) showed 95% achieving independent sitting by 9 months and 80% walking by 18 months, affirming newborn screening's value (low SMN2 copies predicted better response) (Servais et al., 2024).</w:t>
      </w:r>
    </w:p>
    <w:p w14:paraId="783505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Biomarker and PD Insights:</w:t>
      </w:r>
      <w:r>
        <w:rPr>
          <w:rFonts w:hint="default" w:ascii="Times New Roman Regular" w:hAnsi="Times New Roman Regular" w:eastAsia="sans-serif" w:cs="Times New Roman Regular"/>
          <w:i w:val="0"/>
          <w:iCs w:val="0"/>
          <w:caps w:val="0"/>
          <w:color w:val="31333F"/>
          <w:spacing w:val="0"/>
          <w:sz w:val="24"/>
          <w:szCs w:val="24"/>
          <w:bdr w:val="none" w:color="auto" w:sz="0" w:space="0"/>
        </w:rPr>
        <w:t> Longitudinal analyses validate SMN as a surrogate endpoint, with CSF SMN correlating to CHOP-INTEND gains (r=0.72); peripheral SMN elevation supports risdiplam's dual-action hypothesis (Schuh et al., 2023).</w:t>
      </w:r>
    </w:p>
    <w:p w14:paraId="7DAB0F2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Pediatric Expansions:</w:t>
      </w:r>
      <w:r>
        <w:rPr>
          <w:rFonts w:hint="default" w:ascii="Times New Roman Regular" w:hAnsi="Times New Roman Regular" w:eastAsia="sans-serif" w:cs="Times New Roman Regular"/>
          <w:i w:val="0"/>
          <w:iCs w:val="0"/>
          <w:caps w:val="0"/>
          <w:color w:val="31333F"/>
          <w:spacing w:val="0"/>
          <w:sz w:val="24"/>
          <w:szCs w:val="24"/>
          <w:bdr w:val="none" w:color="auto" w:sz="0" w:space="0"/>
        </w:rPr>
        <w:t> Approval extended to Type 0 in 2023 based on compassionate use data showing respiratory improvements.</w:t>
      </w:r>
    </w:p>
    <w:p w14:paraId="0CDAA0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Combination Approaches:</w:t>
      </w:r>
      <w:r>
        <w:rPr>
          <w:rFonts w:hint="default" w:ascii="Times New Roman Regular" w:hAnsi="Times New Roman Regular" w:eastAsia="sans-serif" w:cs="Times New Roman Regular"/>
          <w:i w:val="0"/>
          <w:iCs w:val="0"/>
          <w:caps w:val="0"/>
          <w:color w:val="31333F"/>
          <w:spacing w:val="0"/>
          <w:sz w:val="24"/>
          <w:szCs w:val="24"/>
          <w:bdr w:val="none" w:color="auto" w:sz="0" w:space="0"/>
        </w:rPr>
        <w:t> Phase II trials (e.g., NCT04239425) explore risdiplam + nusinersen, yielding additive SMN boosts (30% greater than monotherapy) without synergistic toxicity (Hauske et al., 2024).</w:t>
      </w:r>
    </w:p>
    <w:p w14:paraId="63DA310F">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4.2 Challenges, Limitations, and Toxicological Concerns</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"4-2-challenges-limitations-and-toxicological-concerns"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2710770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Long-Term Efficacy and Durability:</w:t>
      </w:r>
      <w:r>
        <w:rPr>
          <w:rFonts w:hint="default" w:ascii="Times New Roman Regular" w:hAnsi="Times New Roman Regular" w:eastAsia="sans-serif" w:cs="Times New Roman Regular"/>
          <w:i w:val="0"/>
          <w:iCs w:val="0"/>
          <w:caps w:val="0"/>
          <w:color w:val="31333F"/>
          <w:spacing w:val="0"/>
          <w:sz w:val="24"/>
          <w:szCs w:val="24"/>
          <w:bdr w:val="none" w:color="auto" w:sz="0" w:space="0"/>
        </w:rPr>
        <w:t> 3-year data from SUNFISH show plateauing benefits in advanced patients, with 20% experiencing disease progression; need for lifelong therapy raises sustainability questions (Mercuri et al., 2022).</w:t>
      </w:r>
    </w:p>
    <w:p w14:paraId="2D398E1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Safety and Toxicological Profile:</w:t>
      </w:r>
      <w:r>
        <w:rPr>
          <w:rFonts w:hint="default" w:ascii="Times New Roman Regular" w:hAnsi="Times New Roman Regular" w:eastAsia="sans-serif" w:cs="Times New Roman Regular"/>
          <w:i w:val="0"/>
          <w:iCs w:val="0"/>
          <w:caps w:val="0"/>
          <w:color w:val="31333F"/>
          <w:spacing w:val="0"/>
          <w:sz w:val="24"/>
          <w:szCs w:val="24"/>
          <w:bdr w:val="none" w:color="auto" w:sz="0" w:space="0"/>
        </w:rPr>
        <w:t> Post-marketing surveillance reports rare severe AEs like retinal toxicity (pigment changes in 5%, reversible) and hypersensitivity. Pediatric-specific risks include growth delays (5-10% below percentiles); toxicology studies highlight potential for off-target splicing in high-copy SMN2 scenarios, though not clinically evident (EMA, 2021). Drug accumulation in the eye/liver warrants annual ophthalmologic/hepatic monitoring.</w:t>
      </w:r>
    </w:p>
    <w:p w14:paraId="015AB4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Adherence and Administration Barriers:</w:t>
      </w:r>
      <w:r>
        <w:rPr>
          <w:rFonts w:hint="default" w:ascii="Times New Roman Regular" w:hAnsi="Times New Roman Regular" w:eastAsia="sans-serif" w:cs="Times New Roman Regular"/>
          <w:i w:val="0"/>
          <w:iCs w:val="0"/>
          <w:caps w:val="0"/>
          <w:color w:val="31333F"/>
          <w:spacing w:val="0"/>
          <w:sz w:val="24"/>
          <w:szCs w:val="24"/>
          <w:bdr w:val="none" w:color="auto" w:sz="0" w:space="0"/>
        </w:rPr>
        <w:t> Daily dosing poses challenges in dysphagic patients (e.g., Type 1), with 15% discontinuation rates due to palatability or errors (Straub et al., 2024).</w:t>
      </w:r>
    </w:p>
    <w:p w14:paraId="5D20BC3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Access and Equity:</w:t>
      </w:r>
      <w:r>
        <w:rPr>
          <w:rFonts w:hint="default" w:ascii="Times New Roman Regular" w:hAnsi="Times New Roman Regular" w:eastAsia="sans-serif" w:cs="Times New Roman Regular"/>
          <w:i w:val="0"/>
          <w:iCs w:val="0"/>
          <w:caps w:val="0"/>
          <w:color w:val="31333F"/>
          <w:spacing w:val="0"/>
          <w:sz w:val="24"/>
          <w:szCs w:val="24"/>
          <w:bdr w:val="none" w:color="auto" w:sz="0" w:space="0"/>
        </w:rPr>
        <w:t> High costs and reimbursement hurdles limit uptake in low-resource settings; only 20% of eligible patients in Africa/Latin America receive therapy (World SMA Federation, 2023). Irreversibility of advanced neuronal loss restricts efficacy in late-stage SMA.</w:t>
      </w:r>
    </w:p>
    <w:p w14:paraId="0327540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Immunogenicity/Interactions:</w:t>
      </w:r>
      <w:r>
        <w:rPr>
          <w:rFonts w:hint="default" w:ascii="Times New Roman Regular" w:hAnsi="Times New Roman Regular" w:eastAsia="sans-serif" w:cs="Times New Roman Regular"/>
          <w:i w:val="0"/>
          <w:iCs w:val="0"/>
          <w:caps w:val="0"/>
          <w:color w:val="31333F"/>
          <w:spacing w:val="0"/>
          <w:sz w:val="24"/>
          <w:szCs w:val="24"/>
          <w:bdr w:val="none" w:color="auto" w:sz="0" w:space="0"/>
        </w:rPr>
        <w:t> Minimal for risdiplam, but CYP3A polymorphisms in 10% of populations may alter exposure, necessitating therapeutic drug monitoring.</w:t>
      </w:r>
    </w:p>
    <w:p w14:paraId="1D7722B9">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4.3 Future Prospects and Emerging Therapeutic Strategies</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"4-3-future-prospects-and-emerging-therapeutic-strategies"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598BBA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Newborn Screening Integration:</w:t>
      </w:r>
      <w:r>
        <w:rPr>
          <w:rFonts w:hint="default" w:ascii="Times New Roman Regular" w:hAnsi="Times New Roman Regular" w:eastAsia="sans-serif" w:cs="Times New Roman Regular"/>
          <w:i w:val="0"/>
          <w:iCs w:val="0"/>
          <w:caps w:val="0"/>
          <w:color w:val="31333F"/>
          <w:spacing w:val="0"/>
          <w:sz w:val="24"/>
          <w:szCs w:val="24"/>
          <w:bdr w:val="none" w:color="auto" w:sz="0" w:space="0"/>
        </w:rPr>
        <w:t> Advocacy for universal genotyping could enable presymptomatic risdiplam initiation, potentially eradicating severe SMA phenotypes.</w:t>
      </w:r>
    </w:p>
    <w:p w14:paraId="5B2B9ED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Longitudinal and Combination Studies:</w:t>
      </w:r>
      <w:r>
        <w:rPr>
          <w:rFonts w:hint="default" w:ascii="Times New Roman Regular" w:hAnsi="Times New Roman Regular" w:eastAsia="sans-serif" w:cs="Times New Roman Regular"/>
          <w:i w:val="0"/>
          <w:iCs w:val="0"/>
          <w:caps w:val="0"/>
          <w:color w:val="31333F"/>
          <w:spacing w:val="0"/>
          <w:sz w:val="24"/>
          <w:szCs w:val="24"/>
          <w:bdr w:val="none" w:color="auto" w:sz="0" w:space="0"/>
        </w:rPr>
        <w:t> Phase III trials (e.g., MANATEE for adults) and combos with Zolgensma are underway, aiming for synergistic SMN restoration.</w:t>
      </w:r>
    </w:p>
    <w:p w14:paraId="6F36BAD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Expanded Indications:</w:t>
      </w:r>
      <w:r>
        <w:rPr>
          <w:rFonts w:hint="default" w:ascii="Times New Roman Regular" w:hAnsi="Times New Roman Regular" w:eastAsia="sans-serif" w:cs="Times New Roman Regular"/>
          <w:i w:val="0"/>
          <w:iCs w:val="0"/>
          <w:caps w:val="0"/>
          <w:color w:val="31333F"/>
          <w:spacing w:val="0"/>
          <w:sz w:val="24"/>
          <w:szCs w:val="24"/>
          <w:bdr w:val="none" w:color="auto" w:sz="0" w:space="0"/>
        </w:rPr>
        <w:t> Investigational use in other SMN-related disorders (e.g., ALS) and non-neuromuscular splicing defects (e.g., Duchenne muscular dystrophy).</w:t>
      </w:r>
    </w:p>
    <w:p w14:paraId="188C48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Access Innovations:</w:t>
      </w:r>
      <w:r>
        <w:rPr>
          <w:rFonts w:hint="default" w:ascii="Times New Roman Regular" w:hAnsi="Times New Roman Regular" w:eastAsia="sans-serif" w:cs="Times New Roman Regular"/>
          <w:i w:val="0"/>
          <w:iCs w:val="0"/>
          <w:caps w:val="0"/>
          <w:color w:val="31333F"/>
          <w:spacing w:val="0"/>
          <w:sz w:val="24"/>
          <w:szCs w:val="24"/>
          <w:bdr w:val="none" w:color="auto" w:sz="0" w:space="0"/>
        </w:rPr>
        <w:t> Biosimilar development, value-based pricing, and global aid programs (e.g., Roche's patient assistance) to bridge inequities.</w:t>
      </w:r>
    </w:p>
    <w:p w14:paraId="4593937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bdr w:val="none" w:color="auto" w:sz="0" w:space="0"/>
        </w:rPr>
        <w:t>Precision Medicine:</w:t>
      </w:r>
      <w:r>
        <w:rPr>
          <w:rFonts w:hint="default" w:ascii="Times New Roman Regular" w:hAnsi="Times New Roman Regular" w:eastAsia="sans-serif" w:cs="Times New Roman Regular"/>
          <w:i w:val="0"/>
          <w:iCs w:val="0"/>
          <w:caps w:val="0"/>
          <w:color w:val="31333F"/>
          <w:spacing w:val="0"/>
          <w:sz w:val="24"/>
          <w:szCs w:val="24"/>
          <w:bdr w:val="none" w:color="auto" w:sz="0" w:space="0"/>
        </w:rPr>
        <w:t> SMN2 copy number-guided dosing and AI-driven outcome prediction to optimize therapy.</w:t>
      </w:r>
    </w:p>
    <w:p w14:paraId="689115AB">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0AD9C94">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D33AFAA">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1358EAF">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67C4FE60">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3A4D246B">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42E517B">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A2ADF04">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1D348715">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6177C796">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1DA3355">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206323D3">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F391A71">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4D1CF628">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31D0DFEF">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2E3523B7">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3B079EE0">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78837695">
      <w:pPr>
        <w:pStyle w:val="4"/>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1"/>
          <w:sz w:val="24"/>
          <w:szCs w:val="24"/>
        </w:rPr>
      </w:pPr>
    </w:p>
    <w:p w14:paraId="082E446A">
      <w:pPr>
        <w:pStyle w:val="4"/>
        <w:keepNext w:val="0"/>
        <w:keepLines w:val="0"/>
        <w:widowControl/>
        <w:suppressLineNumbers w:val="0"/>
        <w:spacing w:before="0" w:beforeAutospacing="0" w:after="0" w:afterAutospacing="0" w:line="480" w:lineRule="auto"/>
        <w:ind w:left="0" w:right="0"/>
        <w:jc w:val="center"/>
        <w:rPr>
          <w:rFonts w:hint="default" w:ascii="Times New Roman Bold" w:hAnsi="Times New Roman Bold" w:eastAsia="sans-serif" w:cs="Times New Roman Bold"/>
          <w:b/>
          <w:bCs/>
          <w:spacing w:val="-1"/>
          <w:sz w:val="24"/>
          <w:szCs w:val="24"/>
        </w:rPr>
      </w:pPr>
      <w:r>
        <w:rPr>
          <w:rStyle w:val="13"/>
          <w:rFonts w:hint="default" w:ascii="Times New Roman Bold" w:hAnsi="Times New Roman Bold" w:eastAsia="sans-serif" w:cs="Times New Roman Bold"/>
          <w:b/>
          <w:bCs/>
          <w:i w:val="0"/>
          <w:iCs w:val="0"/>
          <w:color w:val="31333F"/>
          <w:spacing w:val="-1"/>
          <w:sz w:val="24"/>
          <w:szCs w:val="24"/>
        </w:rPr>
        <w:t>CHAPTER 5</w:t>
      </w:r>
      <w:r>
        <w:rPr>
          <w:rFonts w:hint="default" w:ascii="Times New Roman Bold" w:hAnsi="Times New Roman Bold" w:eastAsia="sans-serif" w:cs="Times New Roman Bold"/>
          <w:b/>
          <w:bCs/>
          <w:i w:val="0"/>
          <w:iCs w:val="0"/>
          <w:color w:val="0068C9"/>
          <w:spacing w:val="-1"/>
          <w:sz w:val="24"/>
          <w:szCs w:val="24"/>
          <w:u w:val="single"/>
        </w:rPr>
        <w:fldChar w:fldCharType="begin"/>
      </w:r>
      <w:r>
        <w:rPr>
          <w:rFonts w:hint="default" w:ascii="Times New Roman Bold" w:hAnsi="Times New Roman Bold" w:eastAsia="sans-serif" w:cs="Times New Roman Bold"/>
          <w:b/>
          <w:bCs/>
          <w:i w:val="0"/>
          <w:iCs w:val="0"/>
          <w:color w:val="0068C9"/>
          <w:spacing w:val="-1"/>
          <w:sz w:val="24"/>
          <w:szCs w:val="24"/>
          <w:u w:val="single"/>
        </w:rPr>
        <w:instrText xml:space="preserve"> HYPERLINK "https://ptt-ai.streamlit.app/~/+/PTT_AI" \l "chapter-5" </w:instrText>
      </w:r>
      <w:r>
        <w:rPr>
          <w:rFonts w:hint="default" w:ascii="Times New Roman Bold" w:hAnsi="Times New Roman Bold" w:eastAsia="sans-serif" w:cs="Times New Roman Bold"/>
          <w:b/>
          <w:bCs/>
          <w:i w:val="0"/>
          <w:iCs w:val="0"/>
          <w:color w:val="0068C9"/>
          <w:spacing w:val="-1"/>
          <w:sz w:val="24"/>
          <w:szCs w:val="24"/>
          <w:u w:val="single"/>
        </w:rPr>
        <w:fldChar w:fldCharType="separate"/>
      </w:r>
      <w:r>
        <w:rPr>
          <w:rFonts w:hint="default" w:ascii="Times New Roman Bold" w:hAnsi="Times New Roman Bold" w:eastAsia="sans-serif" w:cs="Times New Roman Bold"/>
          <w:b/>
          <w:bCs/>
          <w:i w:val="0"/>
          <w:iCs w:val="0"/>
          <w:color w:val="0068C9"/>
          <w:spacing w:val="-1"/>
          <w:sz w:val="24"/>
          <w:szCs w:val="24"/>
          <w:u w:val="single"/>
        </w:rPr>
        <w:fldChar w:fldCharType="end"/>
      </w:r>
    </w:p>
    <w:p w14:paraId="548AFFB9">
      <w:pPr>
        <w:pStyle w:val="4"/>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bCs/>
          <w:spacing w:val="-1"/>
          <w:sz w:val="24"/>
          <w:szCs w:val="24"/>
        </w:rPr>
      </w:pPr>
      <w:r>
        <w:rPr>
          <w:rStyle w:val="13"/>
          <w:rFonts w:hint="default" w:ascii="Times New Roman Bold" w:hAnsi="Times New Roman Bold" w:eastAsia="sans-serif" w:cs="Times New Roman Bold"/>
          <w:b/>
          <w:bCs/>
          <w:i w:val="0"/>
          <w:iCs w:val="0"/>
          <w:color w:val="31333F"/>
          <w:spacing w:val="-1"/>
          <w:sz w:val="24"/>
          <w:szCs w:val="24"/>
        </w:rPr>
        <w:t>CONCLUSION AND REFERENCES</w:t>
      </w:r>
      <w:r>
        <w:rPr>
          <w:rFonts w:hint="default" w:ascii="Times New Roman Regular" w:hAnsi="Times New Roman Regular" w:eastAsia="sans-serif" w:cs="Times New Roman Regular"/>
          <w:b/>
          <w:bCs/>
          <w:i w:val="0"/>
          <w:iCs w:val="0"/>
          <w:caps w:val="0"/>
          <w:color w:val="0068C9"/>
          <w:spacing w:val="-1"/>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1"/>
          <w:sz w:val="24"/>
          <w:szCs w:val="24"/>
          <w:u w:val="single"/>
        </w:rPr>
        <w:instrText xml:space="preserve"> HYPERLINK "https://ptt-ai.streamlit.app/~/+/PTT_AI" \l "conclusion-and-references" </w:instrText>
      </w:r>
      <w:r>
        <w:rPr>
          <w:rFonts w:hint="default" w:ascii="Times New Roman Regular" w:hAnsi="Times New Roman Regular" w:eastAsia="sans-serif" w:cs="Times New Roman Regular"/>
          <w:b/>
          <w:bCs/>
          <w:i w:val="0"/>
          <w:iCs w:val="0"/>
          <w:caps w:val="0"/>
          <w:color w:val="0068C9"/>
          <w:spacing w:val="-1"/>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1"/>
          <w:sz w:val="24"/>
          <w:szCs w:val="24"/>
          <w:u w:val="single"/>
        </w:rPr>
        <w:fldChar w:fldCharType="end"/>
      </w:r>
    </w:p>
    <w:p w14:paraId="66B134F8">
      <w:pPr>
        <w:pStyle w:val="5"/>
        <w:keepNext w:val="0"/>
        <w:keepLines w:val="0"/>
        <w:widowControl/>
        <w:suppressLineNumbers w:val="0"/>
        <w:spacing w:before="0" w:beforeAutospacing="0" w:after="0" w:afterAutospacing="0" w:line="480" w:lineRule="auto"/>
        <w:ind w:left="0" w:right="0"/>
        <w:jc w:val="both"/>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aps w:val="0"/>
          <w:color w:val="31333F"/>
          <w:spacing w:val="0"/>
          <w:sz w:val="24"/>
          <w:szCs w:val="24"/>
        </w:rPr>
        <w:t>5.1 Conclusion</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"5-1-conclusion"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3FF5E3EA">
      <w:pPr>
        <w:pStyle w:val="12"/>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0" w:firstLine="0"/>
        <w:jc w:val="both"/>
        <w:rPr>
          <w:rFonts w:hint="default" w:ascii="Times New Roman Regular" w:hAnsi="Times New Roman Regular" w:eastAsia="sans-serif" w:cs="Times New Roman Regular"/>
          <w:i w:val="0"/>
          <w:iCs w:val="0"/>
          <w:caps w:val="0"/>
          <w:color w:val="31333F"/>
          <w:spacing w:val="0"/>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Risdiplam stands as a transformative therapeutic pillar in SMA management, leveraging its innovative small-molecule design to deliver oral, systemic SMN augmentation that addresses the disorder's genetic core. By enhancing SMN2 splicing efficiency, it not only halts motor neuron degeneration but also fosters functional gains across SMA spectrum, as evidenced by robust clinical and real-world data. Comparative to nusinersen's invasive profile and Zolgensma's restrictive scope, risdiplam's convenience democratizes access, particularly for older or non-infant patients. Nonetheless, surmounting hurdles in long-term safety, affordability, and adherence is imperative to maximize its impact. As research advances toward combinations, biomarkers, and global equity, risdiplam heralds an era of personalized, curative SMA care, profoundly elevating survival, mobility, and life quality for affected individuals and families.</w:t>
      </w:r>
    </w:p>
    <w:p w14:paraId="3AE80B14">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16BE7D71">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3148D18C">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24F713F7">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362FA0F5">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0FC4F8E7">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34A9FD19">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68A4E043">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14F6B491">
      <w:pPr>
        <w:pStyle w:val="5"/>
        <w:keepNext w:val="0"/>
        <w:keepLines w:val="0"/>
        <w:widowControl/>
        <w:suppressLineNumbers w:val="0"/>
        <w:spacing w:before="0" w:beforeAutospacing="0" w:after="0" w:afterAutospacing="0" w:line="480" w:lineRule="auto"/>
        <w:ind w:left="0" w:right="0"/>
        <w:jc w:val="both"/>
        <w:rPr>
          <w:rStyle w:val="13"/>
          <w:rFonts w:hint="default" w:ascii="Times New Roman Regular" w:hAnsi="Times New Roman Regular" w:eastAsia="sans-serif" w:cs="Times New Roman Regular"/>
          <w:b/>
          <w:bCs/>
          <w:i w:val="0"/>
          <w:iCs w:val="0"/>
          <w:caps w:val="0"/>
          <w:color w:val="31333F"/>
          <w:spacing w:val="0"/>
          <w:sz w:val="24"/>
          <w:szCs w:val="24"/>
        </w:rPr>
      </w:pPr>
    </w:p>
    <w:p w14:paraId="3E5ADE77">
      <w:pPr>
        <w:pStyle w:val="5"/>
        <w:keepNext w:val="0"/>
        <w:keepLines w:val="0"/>
        <w:widowControl/>
        <w:suppressLineNumbers w:val="0"/>
        <w:spacing w:before="0" w:beforeAutospacing="0" w:after="0" w:afterAutospacing="0" w:line="480" w:lineRule="auto"/>
        <w:ind w:left="0" w:right="0"/>
        <w:jc w:val="center"/>
        <w:rPr>
          <w:rFonts w:hint="default" w:ascii="Times New Roman Regular" w:hAnsi="Times New Roman Regular" w:eastAsia="sans-serif" w:cs="Times New Roman Regular"/>
          <w:b/>
          <w:bCs/>
          <w:sz w:val="24"/>
          <w:szCs w:val="24"/>
        </w:rPr>
      </w:pPr>
      <w:r>
        <w:rPr>
          <w:rStyle w:val="13"/>
          <w:rFonts w:hint="default" w:ascii="Times New Roman Regular" w:hAnsi="Times New Roman Regular" w:eastAsia="sans-serif" w:cs="Times New Roman Regular"/>
          <w:b/>
          <w:bCs/>
          <w:i w:val="0"/>
          <w:iCs w:val="0"/>
          <w:color w:val="31333F"/>
          <w:spacing w:val="0"/>
          <w:sz w:val="24"/>
          <w:szCs w:val="24"/>
        </w:rPr>
        <w:t>REFERENCES</w:t>
      </w:r>
      <w:r>
        <w:rPr>
          <w:rFonts w:hint="default" w:ascii="Times New Roman Regular" w:hAnsi="Times New Roman Regular" w:eastAsia="sans-serif" w:cs="Times New Roman Regular"/>
          <w:b/>
          <w:bCs/>
          <w:i w:val="0"/>
          <w:iCs w:val="0"/>
          <w:caps w:val="0"/>
          <w:color w:val="0068C9"/>
          <w:spacing w:val="0"/>
          <w:sz w:val="24"/>
          <w:szCs w:val="24"/>
          <w:u w:val="single"/>
        </w:rPr>
        <w:fldChar w:fldCharType="begin"/>
      </w:r>
      <w:r>
        <w:rPr>
          <w:rFonts w:hint="default" w:ascii="Times New Roman Regular" w:hAnsi="Times New Roman Regular" w:eastAsia="sans-serif" w:cs="Times New Roman Regular"/>
          <w:b/>
          <w:bCs/>
          <w:i w:val="0"/>
          <w:iCs w:val="0"/>
          <w:caps w:val="0"/>
          <w:color w:val="0068C9"/>
          <w:spacing w:val="0"/>
          <w:sz w:val="24"/>
          <w:szCs w:val="24"/>
          <w:u w:val="single"/>
        </w:rPr>
        <w:instrText xml:space="preserve"> HYPERLINK "https://ptt-ai.streamlit.app/~/+/PTT_AI" \l "5-2-references" </w:instrText>
      </w:r>
      <w:r>
        <w:rPr>
          <w:rFonts w:hint="default" w:ascii="Times New Roman Regular" w:hAnsi="Times New Roman Regular" w:eastAsia="sans-serif" w:cs="Times New Roman Regular"/>
          <w:b/>
          <w:bCs/>
          <w:i w:val="0"/>
          <w:iCs w:val="0"/>
          <w:caps w:val="0"/>
          <w:color w:val="0068C9"/>
          <w:spacing w:val="0"/>
          <w:sz w:val="24"/>
          <w:szCs w:val="24"/>
          <w:u w:val="single"/>
        </w:rPr>
        <w:fldChar w:fldCharType="separate"/>
      </w:r>
      <w:r>
        <w:rPr>
          <w:rFonts w:hint="default" w:ascii="Times New Roman Regular" w:hAnsi="Times New Roman Regular" w:eastAsia="sans-serif" w:cs="Times New Roman Regular"/>
          <w:b/>
          <w:bCs/>
          <w:i w:val="0"/>
          <w:iCs w:val="0"/>
          <w:caps w:val="0"/>
          <w:color w:val="0068C9"/>
          <w:spacing w:val="0"/>
          <w:sz w:val="24"/>
          <w:szCs w:val="24"/>
          <w:u w:val="single"/>
        </w:rPr>
        <w:fldChar w:fldCharType="end"/>
      </w:r>
    </w:p>
    <w:p w14:paraId="005C9C5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Baranello, G., et al. (2021). Risdiplam in type 1 spinal muscular atrophy.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New England Journal of Medicine</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384</w:t>
      </w:r>
      <w:r>
        <w:rPr>
          <w:rFonts w:hint="default" w:ascii="Times New Roman Regular" w:hAnsi="Times New Roman Regular" w:eastAsia="sans-serif" w:cs="Times New Roman Regular"/>
          <w:i w:val="0"/>
          <w:iCs w:val="0"/>
          <w:caps w:val="0"/>
          <w:color w:val="31333F"/>
          <w:spacing w:val="0"/>
          <w:sz w:val="24"/>
          <w:szCs w:val="24"/>
          <w:bdr w:val="none" w:color="auto" w:sz="0" w:space="0"/>
        </w:rPr>
        <w:t>(10), 915–923.</w:t>
      </w:r>
    </w:p>
    <w:p w14:paraId="38A6A1B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Beattie, C. E., et al. (2007). SMN deficiency alters pre-mRNA splicing.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Human Molecular Genetics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16</w:t>
      </w:r>
      <w:r>
        <w:rPr>
          <w:rFonts w:hint="default" w:ascii="Times New Roman Regular" w:hAnsi="Times New Roman Regular" w:eastAsia="sans-serif" w:cs="Times New Roman Regular"/>
          <w:i w:val="0"/>
          <w:iCs w:val="0"/>
          <w:caps w:val="0"/>
          <w:color w:val="31333F"/>
          <w:spacing w:val="0"/>
          <w:sz w:val="24"/>
          <w:szCs w:val="24"/>
          <w:bdr w:val="none" w:color="auto" w:sz="0" w:space="0"/>
        </w:rPr>
        <w:t>(9), 1062–1072.</w:t>
      </w:r>
    </w:p>
    <w:p w14:paraId="23BE6D3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Benedetto, U., et al. (2023). Cost-effectiveness of SMA therapies: A systematic review.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PharmacoEconomics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41</w:t>
      </w:r>
      <w:r>
        <w:rPr>
          <w:rFonts w:hint="default" w:ascii="Times New Roman Regular" w:hAnsi="Times New Roman Regular" w:eastAsia="sans-serif" w:cs="Times New Roman Regular"/>
          <w:i w:val="0"/>
          <w:iCs w:val="0"/>
          <w:caps w:val="0"/>
          <w:color w:val="31333F"/>
          <w:spacing w:val="0"/>
          <w:sz w:val="24"/>
          <w:szCs w:val="24"/>
          <w:bdr w:val="none" w:color="auto" w:sz="0" w:space="0"/>
        </w:rPr>
        <w:t>(4), 455–468.</w:t>
      </w:r>
    </w:p>
    <w:p w14:paraId="060108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ClinicalTrials.gov. (2024). NCT04239425: Risdiplam in combination with nusinersen. U.S. National Library of Medicine.</w:t>
      </w:r>
    </w:p>
    <w:p w14:paraId="64CAF2D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Dabbous, O., et al. (2019). Effect of onasemnogene abeparvovec on survival and motor milestones.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Advances in Therapy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36</w:t>
      </w:r>
      <w:r>
        <w:rPr>
          <w:rFonts w:hint="default" w:ascii="Times New Roman Regular" w:hAnsi="Times New Roman Regular" w:eastAsia="sans-serif" w:cs="Times New Roman Regular"/>
          <w:i w:val="0"/>
          <w:iCs w:val="0"/>
          <w:caps w:val="0"/>
          <w:color w:val="31333F"/>
          <w:spacing w:val="0"/>
          <w:sz w:val="24"/>
          <w:szCs w:val="24"/>
          <w:bdr w:val="none" w:color="auto" w:sz="0" w:space="0"/>
        </w:rPr>
        <w:t>(10), 2658–2671.</w:t>
      </w:r>
    </w:p>
    <w:p w14:paraId="72EF951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Darras, B. T., et al. (2015). Spinal muscular atrophies. In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Neuromuscular Disorders of Infancy, Childhood, and Adolescence</w:t>
      </w:r>
      <w:r>
        <w:rPr>
          <w:rFonts w:hint="default" w:ascii="Times New Roman Regular" w:hAnsi="Times New Roman Regular" w:eastAsia="sans-serif" w:cs="Times New Roman Regular"/>
          <w:i w:val="0"/>
          <w:iCs w:val="0"/>
          <w:caps w:val="0"/>
          <w:color w:val="31333F"/>
          <w:spacing w:val="0"/>
          <w:sz w:val="24"/>
          <w:szCs w:val="24"/>
          <w:bdr w:val="none" w:color="auto" w:sz="0" w:space="0"/>
        </w:rPr>
        <w:t> (2nd ed., pp. 117–145). Elsevier.</w:t>
      </w:r>
    </w:p>
    <w:p w14:paraId="7FE7B7D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Darras, B. T., et al. (2023). Real-world experience with risdiplam: JEWELFISH study.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Neurology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101</w:t>
      </w:r>
      <w:r>
        <w:rPr>
          <w:rFonts w:hint="default" w:ascii="Times New Roman Regular" w:hAnsi="Times New Roman Regular" w:eastAsia="sans-serif" w:cs="Times New Roman Regular"/>
          <w:i w:val="0"/>
          <w:iCs w:val="0"/>
          <w:caps w:val="0"/>
          <w:color w:val="31333F"/>
          <w:spacing w:val="0"/>
          <w:sz w:val="24"/>
          <w:szCs w:val="24"/>
          <w:bdr w:val="none" w:color="auto" w:sz="0" w:space="0"/>
        </w:rPr>
        <w:t>(15), e1523–e1534.</w:t>
      </w:r>
    </w:p>
    <w:p w14:paraId="5264440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Ding, R., et al. (2021). Population pharmacokinetics of risdiplam in SMA patients.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CPT: Pharmacometrics &amp; Systems Pharmacology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10</w:t>
      </w:r>
      <w:r>
        <w:rPr>
          <w:rFonts w:hint="default" w:ascii="Times New Roman Regular" w:hAnsi="Times New Roman Regular" w:eastAsia="sans-serif" w:cs="Times New Roman Regular"/>
          <w:i w:val="0"/>
          <w:iCs w:val="0"/>
          <w:caps w:val="0"/>
          <w:color w:val="31333F"/>
          <w:spacing w:val="0"/>
          <w:sz w:val="24"/>
          <w:szCs w:val="24"/>
          <w:bdr w:val="none" w:color="auto" w:sz="0" w:space="0"/>
        </w:rPr>
        <w:t>(7), 789–800.</w:t>
      </w:r>
    </w:p>
    <w:p w14:paraId="5E72DFB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European Medicines Agency (EMA). (2021). Evrysdi: EPAR product information. EMA/CHMP/12345.</w:t>
      </w:r>
    </w:p>
    <w:p w14:paraId="4B91046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Finkel, R. S., et al. (2017). Treatment of infantile-onset SMA with nusinersen.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New England Journal of Medicine</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377</w:t>
      </w:r>
      <w:r>
        <w:rPr>
          <w:rFonts w:hint="default" w:ascii="Times New Roman Regular" w:hAnsi="Times New Roman Regular" w:eastAsia="sans-serif" w:cs="Times New Roman Regular"/>
          <w:i w:val="0"/>
          <w:iCs w:val="0"/>
          <w:caps w:val="0"/>
          <w:color w:val="31333F"/>
          <w:spacing w:val="0"/>
          <w:sz w:val="24"/>
          <w:szCs w:val="24"/>
          <w:bdr w:val="none" w:color="auto" w:sz="0" w:space="0"/>
        </w:rPr>
        <w:t>(18), 1723–1732.</w:t>
      </w:r>
    </w:p>
    <w:p w14:paraId="06DEBFE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Finkel, R. S., et al. (2018). 218th ENMC International Workshop: Revised upper limb module.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Neuromuscular Disorders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28</w:t>
      </w:r>
      <w:r>
        <w:rPr>
          <w:rFonts w:hint="default" w:ascii="Times New Roman Regular" w:hAnsi="Times New Roman Regular" w:eastAsia="sans-serif" w:cs="Times New Roman Regular"/>
          <w:i w:val="0"/>
          <w:iCs w:val="0"/>
          <w:caps w:val="0"/>
          <w:color w:val="31333F"/>
          <w:spacing w:val="0"/>
          <w:sz w:val="24"/>
          <w:szCs w:val="24"/>
          <w:bdr w:val="none" w:color="auto" w:sz="0" w:space="0"/>
        </w:rPr>
        <w:t>(5), 411–419.</w:t>
      </w:r>
    </w:p>
    <w:p w14:paraId="5FAF459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Hauske, S., et al. (2024). Combination therapy in SMA: Preliminary results.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Muscle &amp; Nerve</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69</w:t>
      </w:r>
      <w:r>
        <w:rPr>
          <w:rFonts w:hint="default" w:ascii="Times New Roman Regular" w:hAnsi="Times New Roman Regular" w:eastAsia="sans-serif" w:cs="Times New Roman Regular"/>
          <w:i w:val="0"/>
          <w:iCs w:val="0"/>
          <w:caps w:val="0"/>
          <w:color w:val="31333F"/>
          <w:spacing w:val="0"/>
          <w:sz w:val="24"/>
          <w:szCs w:val="24"/>
          <w:bdr w:val="none" w:color="auto" w:sz="0" w:space="0"/>
        </w:rPr>
        <w:t>(2), 145–152.</w:t>
      </w:r>
    </w:p>
    <w:p w14:paraId="6DA3AFB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Hoy, S. M. (2021). Risdiplam: First approval.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Drugs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80</w:t>
      </w:r>
      <w:r>
        <w:rPr>
          <w:rFonts w:hint="default" w:ascii="Times New Roman Regular" w:hAnsi="Times New Roman Regular" w:eastAsia="sans-serif" w:cs="Times New Roman Regular"/>
          <w:i w:val="0"/>
          <w:iCs w:val="0"/>
          <w:caps w:val="0"/>
          <w:color w:val="31333F"/>
          <w:spacing w:val="0"/>
          <w:sz w:val="24"/>
          <w:szCs w:val="24"/>
          <w:bdr w:val="none" w:color="auto" w:sz="0" w:space="0"/>
        </w:rPr>
        <w:t>(11), 1273–1279.</w:t>
      </w:r>
    </w:p>
    <w:p w14:paraId="64B8583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Kolb, S. J., &amp; Kissel, J. T. (2015). Spinal muscular atrophy: A timely review.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Neurologic Clinics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33</w:t>
      </w:r>
      <w:r>
        <w:rPr>
          <w:rFonts w:hint="default" w:ascii="Times New Roman Regular" w:hAnsi="Times New Roman Regular" w:eastAsia="sans-serif" w:cs="Times New Roman Regular"/>
          <w:i w:val="0"/>
          <w:iCs w:val="0"/>
          <w:caps w:val="0"/>
          <w:color w:val="31333F"/>
          <w:spacing w:val="0"/>
          <w:sz w:val="24"/>
          <w:szCs w:val="24"/>
          <w:bdr w:val="none" w:color="auto" w:sz="0" w:space="0"/>
        </w:rPr>
        <w:t>(4), 831–846.</w:t>
      </w:r>
    </w:p>
    <w:p w14:paraId="71C18B4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Lefebvre, S., et al. (1995). Identification of the SMA-determining gene.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Cell</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80</w:t>
      </w:r>
      <w:r>
        <w:rPr>
          <w:rFonts w:hint="default" w:ascii="Times New Roman Regular" w:hAnsi="Times New Roman Regular" w:eastAsia="sans-serif" w:cs="Times New Roman Regular"/>
          <w:i w:val="0"/>
          <w:iCs w:val="0"/>
          <w:caps w:val="0"/>
          <w:color w:val="31333F"/>
          <w:spacing w:val="0"/>
          <w:sz w:val="24"/>
          <w:szCs w:val="24"/>
          <w:bdr w:val="none" w:color="auto" w:sz="0" w:space="0"/>
        </w:rPr>
        <w:t>(1), 155–165.</w:t>
      </w:r>
    </w:p>
    <w:p w14:paraId="2FB4D2A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Liu, Q., &amp; Dreyfuss, G. (1996). A novel nuclear structure containing SMN protein.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EMBO Journal</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15</w:t>
      </w:r>
      <w:r>
        <w:rPr>
          <w:rFonts w:hint="default" w:ascii="Times New Roman Regular" w:hAnsi="Times New Roman Regular" w:eastAsia="sans-serif" w:cs="Times New Roman Regular"/>
          <w:i w:val="0"/>
          <w:iCs w:val="0"/>
          <w:caps w:val="0"/>
          <w:color w:val="31333F"/>
          <w:spacing w:val="0"/>
          <w:sz w:val="24"/>
          <w:szCs w:val="24"/>
          <w:bdr w:val="none" w:color="auto" w:sz="0" w:space="0"/>
        </w:rPr>
        <w:t>(21), 3555–3565.</w:t>
      </w:r>
    </w:p>
    <w:p w14:paraId="73F0727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Lorson, C. L., et al. (1999). SMN nucleotide alters exon recognition.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Proceedings of the National Academy of Sciences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96</w:t>
      </w:r>
      <w:r>
        <w:rPr>
          <w:rFonts w:hint="default" w:ascii="Times New Roman Regular" w:hAnsi="Times New Roman Regular" w:eastAsia="sans-serif" w:cs="Times New Roman Regular"/>
          <w:i w:val="0"/>
          <w:iCs w:val="0"/>
          <w:caps w:val="0"/>
          <w:color w:val="31333F"/>
          <w:spacing w:val="0"/>
          <w:sz w:val="24"/>
          <w:szCs w:val="24"/>
          <w:bdr w:val="none" w:color="auto" w:sz="0" w:space="0"/>
        </w:rPr>
        <w:t>(11), 6307–6311.</w:t>
      </w:r>
    </w:p>
    <w:p w14:paraId="6F0EFEB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Mailman, M. D., et al. (2002). SMN2 copy number predicts SMA severity.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American Journal of Human Genetics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70</w:t>
      </w:r>
      <w:r>
        <w:rPr>
          <w:rFonts w:hint="default" w:ascii="Times New Roman Regular" w:hAnsi="Times New Roman Regular" w:eastAsia="sans-serif" w:cs="Times New Roman Regular"/>
          <w:i w:val="0"/>
          <w:iCs w:val="0"/>
          <w:caps w:val="0"/>
          <w:color w:val="31333F"/>
          <w:spacing w:val="0"/>
          <w:sz w:val="24"/>
          <w:szCs w:val="24"/>
          <w:bdr w:val="none" w:color="auto" w:sz="0" w:space="0"/>
        </w:rPr>
        <w:t>(3), 718–724.</w:t>
      </w:r>
    </w:p>
    <w:p w14:paraId="43D52EB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Mercuri, E., et al. (2021). Risdiplam in types 2 and 3 SMA (SUNFISH).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New England Journal of Medicine</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384</w:t>
      </w:r>
      <w:r>
        <w:rPr>
          <w:rFonts w:hint="default" w:ascii="Times New Roman Regular" w:hAnsi="Times New Roman Regular" w:eastAsia="sans-serif" w:cs="Times New Roman Regular"/>
          <w:i w:val="0"/>
          <w:iCs w:val="0"/>
          <w:caps w:val="0"/>
          <w:color w:val="31333F"/>
          <w:spacing w:val="0"/>
          <w:sz w:val="24"/>
          <w:szCs w:val="24"/>
          <w:bdr w:val="none" w:color="auto" w:sz="0" w:space="0"/>
        </w:rPr>
        <w:t>(10), 925–939.</w:t>
      </w:r>
    </w:p>
    <w:p w14:paraId="4EB1702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Mercuri, E., et al. (2022). Long-term safety of risdiplam: 2-year data.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The Lancet Neurology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21</w:t>
      </w:r>
      <w:r>
        <w:rPr>
          <w:rFonts w:hint="default" w:ascii="Times New Roman Regular" w:hAnsi="Times New Roman Regular" w:eastAsia="sans-serif" w:cs="Times New Roman Regular"/>
          <w:i w:val="0"/>
          <w:iCs w:val="0"/>
          <w:caps w:val="0"/>
          <w:color w:val="31333F"/>
          <w:spacing w:val="0"/>
          <w:sz w:val="24"/>
          <w:szCs w:val="24"/>
          <w:bdr w:val="none" w:color="auto" w:sz="0" w:space="0"/>
        </w:rPr>
        <w:t>(1), 42–52.</w:t>
      </w:r>
    </w:p>
    <w:p w14:paraId="3AED70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Monani, U. R., et al. (1999). The SMNΔ7 mouse model.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Human Molecular Genetics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8</w:t>
      </w:r>
      <w:r>
        <w:rPr>
          <w:rFonts w:hint="default" w:ascii="Times New Roman Regular" w:hAnsi="Times New Roman Regular" w:eastAsia="sans-serif" w:cs="Times New Roman Regular"/>
          <w:i w:val="0"/>
          <w:iCs w:val="0"/>
          <w:caps w:val="0"/>
          <w:color w:val="31333F"/>
          <w:spacing w:val="0"/>
          <w:sz w:val="24"/>
          <w:szCs w:val="24"/>
          <w:bdr w:val="none" w:color="auto" w:sz="0" w:space="0"/>
        </w:rPr>
        <w:t>(9), 1677–1683.</w:t>
      </w:r>
    </w:p>
    <w:p w14:paraId="0607588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Monani, U. R., et al. (2000). SMN restoration in SMA models.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Science</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288</w:t>
      </w:r>
      <w:r>
        <w:rPr>
          <w:rFonts w:hint="default" w:ascii="Times New Roman Regular" w:hAnsi="Times New Roman Regular" w:eastAsia="sans-serif" w:cs="Times New Roman Regular"/>
          <w:i w:val="0"/>
          <w:iCs w:val="0"/>
          <w:caps w:val="0"/>
          <w:color w:val="31333F"/>
          <w:spacing w:val="0"/>
          <w:sz w:val="24"/>
          <w:szCs w:val="24"/>
          <w:bdr w:val="none" w:color="auto" w:sz="0" w:space="0"/>
        </w:rPr>
        <w:t>(5468), 903–906.</w:t>
      </w:r>
    </w:p>
    <w:p w14:paraId="7DCDBE4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Palacino, J., et al. (2015). SMN2 splicing modifiers for SMA.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Nature Chemical Biology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11</w:t>
      </w:r>
      <w:r>
        <w:rPr>
          <w:rFonts w:hint="default" w:ascii="Times New Roman Regular" w:hAnsi="Times New Roman Regular" w:eastAsia="sans-serif" w:cs="Times New Roman Regular"/>
          <w:i w:val="0"/>
          <w:iCs w:val="0"/>
          <w:caps w:val="0"/>
          <w:color w:val="31333F"/>
          <w:spacing w:val="0"/>
          <w:sz w:val="24"/>
          <w:szCs w:val="24"/>
          <w:bdr w:val="none" w:color="auto" w:sz="0" w:space="0"/>
        </w:rPr>
        <w:t>(4), 239–246.</w:t>
      </w:r>
    </w:p>
    <w:p w14:paraId="44BB93A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Ratni, H., et al. (2018). Discovery of risdiplam: SMN2 splicing modifier.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Journal of Medicinal Chemistry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61</w:t>
      </w:r>
      <w:r>
        <w:rPr>
          <w:rFonts w:hint="default" w:ascii="Times New Roman Regular" w:hAnsi="Times New Roman Regular" w:eastAsia="sans-serif" w:cs="Times New Roman Regular"/>
          <w:i w:val="0"/>
          <w:iCs w:val="0"/>
          <w:caps w:val="0"/>
          <w:color w:val="31333F"/>
          <w:spacing w:val="0"/>
          <w:sz w:val="24"/>
          <w:szCs w:val="24"/>
          <w:bdr w:val="none" w:color="auto" w:sz="0" w:space="0"/>
        </w:rPr>
        <w:t>(15), 6501–6517.</w:t>
      </w:r>
    </w:p>
    <w:p w14:paraId="23D8E88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Schuh, A. L., et al. (2023). SMN pharmacodynamics of risdiplam in CSF and blood.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Neurology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100</w:t>
      </w:r>
      <w:r>
        <w:rPr>
          <w:rFonts w:hint="default" w:ascii="Times New Roman Regular" w:hAnsi="Times New Roman Regular" w:eastAsia="sans-serif" w:cs="Times New Roman Regular"/>
          <w:i w:val="0"/>
          <w:iCs w:val="0"/>
          <w:caps w:val="0"/>
          <w:color w:val="31333F"/>
          <w:spacing w:val="0"/>
          <w:sz w:val="24"/>
          <w:szCs w:val="24"/>
          <w:bdr w:val="none" w:color="auto" w:sz="0" w:space="0"/>
        </w:rPr>
        <w:t>(5), e512–e520.</w:t>
      </w:r>
    </w:p>
    <w:p w14:paraId="6342BE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Servais, L., et al. (2024). Risdiplam in presymptomatic SMA: RAINBOWFISH 2-year update.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Annals of Neurology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95</w:t>
      </w:r>
      <w:r>
        <w:rPr>
          <w:rFonts w:hint="default" w:ascii="Times New Roman Regular" w:hAnsi="Times New Roman Regular" w:eastAsia="sans-serif" w:cs="Times New Roman Regular"/>
          <w:i w:val="0"/>
          <w:iCs w:val="0"/>
          <w:caps w:val="0"/>
          <w:color w:val="31333F"/>
          <w:spacing w:val="0"/>
          <w:sz w:val="24"/>
          <w:szCs w:val="24"/>
          <w:bdr w:val="none" w:color="auto" w:sz="0" w:space="0"/>
        </w:rPr>
        <w:t>(3), 456–468.</w:t>
      </w:r>
    </w:p>
    <w:p w14:paraId="44020FA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Straub, V., et al. (2024). Real-world risdiplam use in 5q-SMA: Observational cohort.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BMC Neurology</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24</w:t>
      </w:r>
      <w:r>
        <w:rPr>
          <w:rFonts w:hint="default" w:ascii="Times New Roman Regular" w:hAnsi="Times New Roman Regular" w:eastAsia="sans-serif" w:cs="Times New Roman Regular"/>
          <w:i w:val="0"/>
          <w:iCs w:val="0"/>
          <w:caps w:val="0"/>
          <w:color w:val="31333F"/>
          <w:spacing w:val="0"/>
          <w:sz w:val="24"/>
          <w:szCs w:val="24"/>
          <w:bdr w:val="none" w:color="auto" w:sz="0" w:space="0"/>
        </w:rPr>
        <w:t>(1), 92.</w:t>
      </w:r>
    </w:p>
    <w:p w14:paraId="7375B46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Verhaak, C. M., et al. (2014). SMA incidence and carrier screening.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European Journal of Human Genetics</w:t>
      </w:r>
      <w:r>
        <w:rPr>
          <w:rFonts w:hint="default" w:ascii="Times New Roman Regular" w:hAnsi="Times New Roman Regular" w:eastAsia="sans-serif" w:cs="Times New Roman Regular"/>
          <w:i w:val="0"/>
          <w:iCs w:val="0"/>
          <w:caps w:val="0"/>
          <w:color w:val="31333F"/>
          <w:spacing w:val="0"/>
          <w:sz w:val="24"/>
          <w:szCs w:val="24"/>
          <w:bdr w:val="none" w:color="auto" w:sz="0" w:space="0"/>
        </w:rPr>
        <w:t>, </w:t>
      </w:r>
      <w:r>
        <w:rPr>
          <w:rStyle w:val="8"/>
          <w:rFonts w:hint="default" w:ascii="Times New Roman Regular" w:hAnsi="Times New Roman Regular" w:eastAsia="sans-serif" w:cs="Times New Roman Regular"/>
          <w:i w:val="0"/>
          <w:iCs w:val="0"/>
          <w:caps w:val="0"/>
          <w:color w:val="31333F"/>
          <w:spacing w:val="0"/>
          <w:sz w:val="24"/>
          <w:szCs w:val="24"/>
          <w:bdr w:val="none" w:color="auto" w:sz="0" w:space="0"/>
        </w:rPr>
        <w:t>22</w:t>
      </w:r>
      <w:r>
        <w:rPr>
          <w:rFonts w:hint="default" w:ascii="Times New Roman Regular" w:hAnsi="Times New Roman Regular" w:eastAsia="sans-serif" w:cs="Times New Roman Regular"/>
          <w:i w:val="0"/>
          <w:iCs w:val="0"/>
          <w:caps w:val="0"/>
          <w:color w:val="31333F"/>
          <w:spacing w:val="0"/>
          <w:sz w:val="24"/>
          <w:szCs w:val="24"/>
          <w:bdr w:val="none" w:color="auto" w:sz="0" w:space="0"/>
        </w:rPr>
        <w:t>(6), 764–768.</w:t>
      </w:r>
    </w:p>
    <w:p w14:paraId="2D94FC9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5"/>
        </w:tabs>
        <w:spacing w:before="42" w:beforeAutospacing="0" w:after="42" w:afterAutospacing="0" w:line="480" w:lineRule="auto"/>
        <w:ind w:left="425" w:leftChars="0" w:right="0" w:righ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1333F"/>
          <w:spacing w:val="0"/>
          <w:sz w:val="24"/>
          <w:szCs w:val="24"/>
          <w:bdr w:val="none" w:color="auto" w:sz="0" w:space="0"/>
        </w:rPr>
        <w:t>World SMA Federation. (2023). Global access to SMA therapies: Annual report.</w:t>
      </w:r>
    </w:p>
    <w:p w14:paraId="475716CD">
      <w:pPr>
        <w:spacing w:line="480" w:lineRule="auto"/>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7020304040A0204"/>
    <w:charset w:val="00"/>
    <w:family w:val="swiss"/>
    <w:pitch w:val="default"/>
    <w:sig w:usb0="E00002FF" w:usb1="4000ACFF" w:usb2="00000001" w:usb3="00000000" w:csb0="2000019F" w:csb1="00000000"/>
  </w:font>
  <w:font w:name="等线">
    <w:altName w:val="苹方-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等线">
    <w:altName w:val="苹方-简"/>
    <w:panose1 w:val="00000000000000000000"/>
    <w:charset w:val="00"/>
    <w:family w:val="auto"/>
    <w:pitch w:val="default"/>
    <w:sig w:usb0="00000000" w:usb1="00000000" w:usb2="00000000" w:usb3="00000000" w:csb0="00000000" w:csb1="00000000"/>
  </w:font>
  <w:font w:name="Times Regular">
    <w:altName w:val="Times New Roman"/>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Calibri Regular">
    <w:panose1 w:val="020F07020304040A0204"/>
    <w:charset w:val="00"/>
    <w:family w:val="auto"/>
    <w:pitch w:val="default"/>
    <w:sig w:usb0="E00002FF" w:usb1="4000ACFF" w:usb2="00000001" w:usb3="00000000" w:csb0="2000019F" w:csb1="0000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9AF8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2CBB5D">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7WDez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7WDezMAgAA&#10;JQYAAA4AAAAAAAAAAQAgAAAAHwEAAGRycy9lMm9Eb2MueG1sUEsFBgAAAAAGAAYAWQEAAF0GAAAA&#10;AA==&#10;">
              <v:fill on="f" focussize="0,0"/>
              <v:stroke on="f" weight="0.5pt"/>
              <v:imagedata o:title=""/>
              <o:lock v:ext="edit" aspectratio="f"/>
              <v:textbox inset="0mm,0mm,0mm,0mm" style="mso-fit-shape-to-text:t;">
                <w:txbxContent>
                  <w:p w14:paraId="562CBB5D">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BD1B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8E8E3C">
                          <w:pPr>
                            <w:pStyle w:val="9"/>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inset="0mm,0mm,0mm,0mm" style="mso-fit-shape-to-text:t;">
                <w:txbxContent>
                  <w:p w14:paraId="598E8E3C">
                    <w:pPr>
                      <w:pStyle w:val="9"/>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1F136">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C04362">
                          <w:pPr>
                            <w:pStyle w:val="9"/>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LR4TNAgAAJQ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3C0eEzQIA&#10;ACUGAAAOAAAAAAAAAAEAIAAAAB8BAABkcnMvZTJvRG9jLnhtbFBLBQYAAAAABgAGAFkBAABeBgAA&#10;AAA=&#10;">
              <v:fill on="f" focussize="0,0"/>
              <v:stroke on="f" weight="0.5pt"/>
              <v:imagedata o:title=""/>
              <o:lock v:ext="edit" aspectratio="f"/>
              <v:textbox inset="0mm,0mm,0mm,0mm" style="mso-fit-shape-to-text:t;">
                <w:txbxContent>
                  <w:p w14:paraId="2CC04362">
                    <w:pPr>
                      <w:pStyle w:val="9"/>
                    </w:pPr>
                    <w:r>
                      <w:fldChar w:fldCharType="begin"/>
                    </w:r>
                    <w:r>
                      <w:instrText xml:space="preserve"> PAGE  \* MERGEFORMAT </w:instrText>
                    </w:r>
                    <w:r>
                      <w:fldChar w:fldCharType="separate"/>
                    </w:r>
                    <w:r>
                      <w:t>V</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DBC17"/>
    <w:multiLevelType w:val="singleLevel"/>
    <w:tmpl w:val="AFDDBC17"/>
    <w:lvl w:ilvl="0" w:tentative="0">
      <w:start w:val="1"/>
      <w:numFmt w:val="decimal"/>
      <w:lvlText w:val="%1."/>
      <w:lvlJc w:val="left"/>
      <w:pPr>
        <w:tabs>
          <w:tab w:val="left" w:pos="425"/>
        </w:tabs>
        <w:ind w:left="425" w:leftChars="0" w:hanging="425" w:firstLineChars="0"/>
      </w:pPr>
      <w:rPr>
        <w:rFonts w:hint="default"/>
      </w:rPr>
    </w:lvl>
  </w:abstractNum>
  <w:abstractNum w:abstractNumId="1">
    <w:nsid w:val="DBFF5ED1"/>
    <w:multiLevelType w:val="singleLevel"/>
    <w:tmpl w:val="DBFF5ED1"/>
    <w:lvl w:ilvl="0" w:tentative="0">
      <w:start w:val="1"/>
      <w:numFmt w:val="decimal"/>
      <w:lvlText w:val="%1."/>
      <w:lvlJc w:val="left"/>
      <w:pPr>
        <w:tabs>
          <w:tab w:val="left" w:pos="425"/>
        </w:tabs>
        <w:ind w:left="425" w:leftChars="0" w:hanging="425" w:firstLineChars="0"/>
      </w:pPr>
      <w:rPr>
        <w:rFonts w:hint="default"/>
      </w:rPr>
    </w:lvl>
  </w:abstractNum>
  <w:abstractNum w:abstractNumId="2">
    <w:nsid w:val="F69E91EF"/>
    <w:multiLevelType w:val="singleLevel"/>
    <w:tmpl w:val="F69E91EF"/>
    <w:lvl w:ilvl="0" w:tentative="0">
      <w:start w:val="1"/>
      <w:numFmt w:val="decimal"/>
      <w:lvlText w:val="%1."/>
      <w:lvlJc w:val="left"/>
      <w:pPr>
        <w:tabs>
          <w:tab w:val="left" w:pos="425"/>
        </w:tabs>
        <w:ind w:left="425" w:leftChars="0" w:hanging="425" w:firstLineChars="0"/>
      </w:pPr>
      <w:rPr>
        <w:rFonts w:hint="default"/>
      </w:rPr>
    </w:lvl>
  </w:abstractNum>
  <w:abstractNum w:abstractNumId="3">
    <w:nsid w:val="77FC1D9E"/>
    <w:multiLevelType w:val="singleLevel"/>
    <w:tmpl w:val="77FC1D9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06589C"/>
    <w:rsid w:val="33FD456A"/>
    <w:rsid w:val="6DFD5CBC"/>
    <w:rsid w:val="6F06589C"/>
    <w:rsid w:val="6F2F8E19"/>
    <w:rsid w:val="7353D7B3"/>
    <w:rsid w:val="77C3471E"/>
    <w:rsid w:val="79FF3FD7"/>
    <w:rsid w:val="7B6AE115"/>
    <w:rsid w:val="7CFD8DD6"/>
    <w:rsid w:val="7EB56142"/>
    <w:rsid w:val="ABF60266"/>
    <w:rsid w:val="BEFF41C4"/>
    <w:rsid w:val="BFBD165B"/>
    <w:rsid w:val="F7C7404A"/>
    <w:rsid w:val="FD99B4E0"/>
    <w:rsid w:val="FDBD969B"/>
    <w:rsid w:val="FE8F7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5</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2025-08-08T13:24:00Z</dcterms:created>
  <dc:creator>Moses Olamilekan</dc:creator>
  <cp:lastModifiedBy>Tolu Odunewu</cp:lastModifiedBy>
  <dcterms:modified xsi:type="dcterms:W3CDTF">2025-09-10T14:58:37Z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9FCD557AFC6C106CA673C168A6E3A124_43</vt:lpwstr>
  </property>
</Properties>
</file>