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40" w:before="0"/>
        <w:jc w:val="center"/>
      </w:pPr>
      <w:r>
        <w:rPr>
          <w:rFonts w:ascii="Arial" w:cs="Arial" w:eastAsia="Arial" w:hAnsi="Arial"/>
          <w:b/>
          <w:bCs/>
          <w:caps/>
          <w:color w:val="9D2235"/>
          <w:sz w:val="36"/>
          <w:szCs w:val="36"/>
        </w:rPr>
        <w:t xml:space="preserve">TEMPLE UNIVERSITY</w:t>
      </w:r>
    </w:p>
    <w:p>
      <w:pPr>
        <w:spacing w:after="20" w:before="0"/>
        <w:jc w:val="center"/>
      </w:pPr>
      <w:r>
        <w:rPr>
          <w:rFonts w:ascii="Arial" w:cs="Arial" w:eastAsia="Arial" w:hAnsi="Arial"/>
          <w:color w:val="5A5A5A"/>
          <w:sz w:val="20"/>
          <w:szCs w:val="20"/>
        </w:rPr>
        <w:t xml:space="preserve">Department of Computer and Information Sciences  |  Fox School of Business</w:t>
      </w:r>
    </w:p>
    <w:p>
      <w:pPr>
        <w:pBdr>
          <w:bottom w:val="single" w:color="9D2235" w:sz="8" w:space="1"/>
        </w:pBdr>
        <w:spacing w:after="0" w:before="0"/>
      </w:pPr>
    </w:p>
    <w:p>
      <w:pPr>
        <w:spacing w:after="300" w:before="300"/>
      </w:pPr>
    </w:p>
    <w:p>
      <w:pPr>
        <w:spacing w:after="80" w:before="0"/>
        <w:jc w:val="center"/>
      </w:pPr>
      <w:r>
        <w:rPr>
          <w:rFonts w:ascii="Arial" w:cs="Arial" w:eastAsia="Arial" w:hAnsi="Arial"/>
          <w:b/>
          <w:bCs/>
          <w:color w:val="9D2235"/>
          <w:sz w:val="72"/>
          <w:szCs w:val="72"/>
        </w:rPr>
        <w:t xml:space="preserve">AFRED</w:t>
      </w:r>
    </w:p>
    <w:p>
      <w:pPr>
        <w:spacing w:after="40" w:before="0"/>
        <w:jc w:val="center"/>
      </w:pPr>
      <w:r>
        <w:rPr>
          <w:rFonts w:ascii="Arial" w:cs="Arial" w:eastAsia="Arial" w:hAnsi="Arial"/>
          <w:b/>
          <w:bCs/>
          <w:color w:val="2D2D2D"/>
          <w:sz w:val="32"/>
          <w:szCs w:val="32"/>
        </w:rPr>
        <w:t xml:space="preserve">Autonomous Financial Ripple Effect Discovery</w:t>
      </w:r>
    </w:p>
    <w:p>
      <w:pPr>
        <w:spacing w:after="80" w:before="80"/>
      </w:pPr>
    </w:p>
    <w:p>
      <w:pPr>
        <w:pBdr>
          <w:bottom w:val="single" w:color="9D2235" w:sz="8" w:space="1"/>
        </w:pBdr>
        <w:spacing w:after="0" w:before="0"/>
      </w:pPr>
    </w:p>
    <w:p>
      <w:pPr>
        <w:spacing w:after="200" w:before="200"/>
      </w:pPr>
    </w:p>
    <w:p>
      <w:pPr>
        <w:spacing w:after="60" w:before="0"/>
        <w:jc w:val="center"/>
      </w:pPr>
      <w:r>
        <w:rPr>
          <w:rFonts w:ascii="Arial" w:cs="Arial" w:eastAsia="Arial" w:hAnsi="Arial"/>
          <w:b w:val="false"/>
          <w:bCs w:val="false"/>
          <w:caps w:val="false"/>
          <w:color w:val="5A5A5A"/>
          <w:sz w:val="22"/>
          <w:szCs w:val="22"/>
        </w:rPr>
        <w:t xml:space="preserve">Using LLM-Driven Multi-Agent Systems to Identify Cross-Entity Market Impacts</w:t>
      </w:r>
    </w:p>
    <w:p>
      <w:pPr>
        <w:spacing w:after="300" w:before="0"/>
        <w:jc w:val="center"/>
      </w:pPr>
      <w:r>
        <w:rPr>
          <w:rFonts w:ascii="Arial" w:cs="Arial" w:eastAsia="Arial" w:hAnsi="Arial"/>
          <w:b w:val="false"/>
          <w:bCs w:val="false"/>
          <w:caps w:val="false"/>
          <w:color w:val="5A5A5A"/>
          <w:sz w:val="22"/>
          <w:szCs w:val="22"/>
        </w:rPr>
        <w:t xml:space="preserve">from Financial Events Without Human-Specified Target Entities</w:t>
      </w:r>
    </w:p>
    <w:p>
      <w:pPr>
        <w:spacing w:after="200" w:before="200"/>
      </w:pPr>
    </w:p>
    <w:p>
      <w:pPr>
        <w:spacing w:after="60" w:before="0"/>
        <w:jc w:val="center"/>
      </w:pPr>
      <w:r>
        <w:rPr>
          <w:rFonts w:ascii="Arial" w:cs="Arial" w:eastAsia="Arial" w:hAnsi="Arial"/>
          <w:b w:val="false"/>
          <w:bCs w:val="false"/>
          <w:caps w:val="false"/>
          <w:color w:val="5A5A5A"/>
          <w:sz w:val="20"/>
          <w:szCs w:val="20"/>
        </w:rPr>
        <w:t xml:space="preserve">Research Domain: Artificial Intelligence in Finance</w:t>
      </w:r>
    </w:p>
    <w:p>
      <w:pPr>
        <w:spacing w:after="200" w:before="0"/>
        <w:jc w:val="center"/>
      </w:pPr>
      <w:r>
        <w:rPr>
          <w:rFonts w:ascii="Arial" w:cs="Arial" w:eastAsia="Arial" w:hAnsi="Arial"/>
          <w:b w:val="false"/>
          <w:bCs w:val="false"/>
          <w:caps w:val="false"/>
          <w:color w:val="5A5A5A"/>
          <w:sz w:val="20"/>
          <w:szCs w:val="20"/>
        </w:rPr>
        <w:t xml:space="preserve">Document Type: PhD Research Proposal</w:t>
      </w:r>
    </w:p>
    <w:p>
      <w:pPr>
        <w:spacing w:after="200" w:before="200"/>
      </w:pPr>
    </w:p>
    <w:p>
      <w:pPr>
        <w:spacing w:after="60" w:before="0"/>
        <w:jc w:val="center"/>
      </w:pPr>
      <w:r>
        <w:rPr>
          <w:rFonts w:ascii="Arial" w:cs="Arial" w:eastAsia="Arial" w:hAnsi="Arial"/>
          <w:b/>
          <w:bCs/>
          <w:caps w:val="false"/>
          <w:color w:val="2D2D2D"/>
          <w:sz w:val="26"/>
          <w:szCs w:val="26"/>
        </w:rPr>
        <w:t xml:space="preserve">Nimish Prabhakar</w:t>
      </w:r>
    </w:p>
    <w:p>
      <w:pPr>
        <w:spacing w:after="60" w:before="0"/>
        <w:jc w:val="center"/>
      </w:pPr>
      <w:r>
        <w:rPr>
          <w:rFonts w:ascii="Arial" w:cs="Arial" w:eastAsia="Arial" w:hAnsi="Arial"/>
          <w:b w:val="false"/>
          <w:bCs w:val="false"/>
          <w:caps w:val="false"/>
          <w:color w:val="5A5A5A"/>
          <w:sz w:val="20"/>
          <w:szCs w:val="20"/>
        </w:rPr>
        <w:t xml:space="preserve">MS Computer Science, Temple University</w:t>
      </w:r>
    </w:p>
    <w:p>
      <w:pPr>
        <w:spacing w:after="80" w:before="80"/>
      </w:pPr>
    </w:p>
    <w:p>
      <w:pPr>
        <w:spacing w:after="60" w:before="0"/>
        <w:jc w:val="center"/>
      </w:pPr>
      <w:r>
        <w:rPr>
          <w:rFonts w:ascii="Arial" w:cs="Arial" w:eastAsia="Arial" w:hAnsi="Arial"/>
          <w:b w:val="false"/>
          <w:bCs w:val="false"/>
          <w:caps w:val="false"/>
          <w:color w:val="5A5A5A"/>
          <w:sz w:val="20"/>
          <w:szCs w:val="20"/>
        </w:rPr>
        <w:t xml:space="preserve">April 2026</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Abstract</w:t>
      </w:r>
    </w:p>
    <w:p>
      <w:pPr>
        <w:spacing w:after="120" w:before="60" w:line="320" w:lineRule="auto"/>
        <w:jc w:val="both"/>
      </w:pPr>
      <w:r>
        <w:rPr>
          <w:rFonts w:ascii="Arial" w:cs="Arial" w:eastAsia="Arial" w:hAnsi="Arial"/>
          <w:color w:val="2D2D2D"/>
          <w:sz w:val="22"/>
          <w:szCs w:val="22"/>
        </w:rPr>
        <w:t xml:space="preserve">Financial markets are highly interconnected. A single corporate event regularly triggers secondary impacts across suppliers, competitors, downstream customers, and in larger cases, across macroeconomic indicators and household purchasing power. Human analysts navigate this complexity instinctively. They hear about an Apple chip announcement and immediately think about TSMC, Intel's competitive position, and ARM's licensing revenue. That kind of cross-entity reasoning is what separates a good analyst from a lookup table.</w:t>
      </w:r>
    </w:p>
    <w:p>
      <w:pPr>
        <w:spacing w:after="120" w:before="60" w:line="320" w:lineRule="auto"/>
        <w:jc w:val="both"/>
      </w:pPr>
      <w:r>
        <w:rPr>
          <w:rFonts w:ascii="Arial" w:cs="Arial" w:eastAsia="Arial" w:hAnsi="Arial"/>
          <w:color w:val="2D2D2D"/>
          <w:sz w:val="22"/>
          <w:szCs w:val="22"/>
        </w:rPr>
        <w:t xml:space="preserve">Current AI-driven financial tools cannot do this. Almost every system in the space requires a human to provide a list of companies before it starts. The system then evaluates those companies. The question of which companies should be on that list in the first place is left entirely to the human. AFRED is built around that missing question.</w:t>
      </w:r>
    </w:p>
    <w:p>
      <w:pPr>
        <w:spacing w:after="120" w:before="60" w:line="320" w:lineRule="auto"/>
        <w:jc w:val="both"/>
      </w:pPr>
      <w:r>
        <w:rPr>
          <w:rFonts w:ascii="Arial" w:cs="Arial" w:eastAsia="Arial" w:hAnsi="Arial"/>
          <w:color w:val="2D2D2D"/>
          <w:sz w:val="22"/>
          <w:szCs w:val="22"/>
        </w:rPr>
        <w:t xml:space="preserve">The core objective of Autonomous Financial Ripple Effect Discovery is to take a raw financial event text and produce a ranked set of materially affected entities, their causal mechanisms, directional impact forecasts, and confidence estimates, without anyone specifying which companies to look at beforehand. This document outlines the problem, the architecture designed to solve it, the empirical work done so far, and the research questions that remain for a doctoral program.</w:t>
      </w:r>
    </w:p>
    <w:p>
      <w:pPr>
        <w:spacing w:after="120" w:before="60" w:line="320" w:lineRule="auto"/>
        <w:jc w:val="both"/>
      </w:pPr>
      <w:r>
        <w:rPr>
          <w:rFonts w:ascii="Arial" w:cs="Arial" w:eastAsia="Arial" w:hAnsi="Arial"/>
          <w:color w:val="2D2D2D"/>
          <w:sz w:val="22"/>
          <w:szCs w:val="22"/>
        </w:rPr>
        <w:t xml:space="preserve">A proof-of-concept pipeline has been built and tested. The Apple M3 announcement event was traced end-to-end: entity extraction, event classification, knowledge graph traversal, magnitude computation, enrichment, segment discovery, and cross-graph spawning into cloud infrastructure. Seven affected entities were discovered across two knowledge graphs from a single raw headline with no hardcoded values anywhere in the pipeline. The Iran war and Strait of Hormuz closure were also tested and correctly halted at the knowledge graph boundary, revealing precisely where the architecture needs to extend.</w:t>
      </w:r>
    </w:p>
    <w:p>
      <w:pPr>
        <w:spacing w:after="120" w:before="60" w:line="320" w:lineRule="auto"/>
        <w:jc w:val="both"/>
      </w:pPr>
      <w:r>
        <w:rPr>
          <w:rFonts w:ascii="Arial" w:cs="Arial" w:eastAsia="Arial" w:hAnsi="Arial"/>
          <w:color w:val="2D2D2D"/>
          <w:sz w:val="22"/>
          <w:szCs w:val="22"/>
        </w:rPr>
        <w:t xml:space="preserve">The research problems that remain are what make this a PhD program rather than a software project. Building a GNN policy to replace the threshold decisions, constructing the evaluation benchmark, formalizing the sovereign-to-corporate knowledge graph for geopolitical events, adding the macroeconomic transmission layer, and training the propagation topology classifier. Each of these is a distinct contribution.</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Table of Contents</w:t>
      </w:r>
    </w:p>
    <w:p>
      <w:pPr>
        <w:tabs>
          <w:tab w:val="left" w:pos="600"/>
        </w:tabs>
        <w:spacing w:after="60" w:before="60"/>
      </w:pPr>
      <w:r>
        <w:rPr>
          <w:rFonts w:ascii="Arial" w:cs="Arial" w:eastAsia="Arial" w:hAnsi="Arial"/>
          <w:b/>
          <w:bCs/>
          <w:color w:val="9D2235"/>
          <w:sz w:val="22"/>
          <w:szCs w:val="22"/>
        </w:rPr>
        <w:t xml:space="preserve">1.</w:t>
      </w:r>
      <w:r>
        <w:rPr>
          <w:rFonts w:ascii="Arial" w:cs="Arial" w:eastAsia="Arial" w:hAnsi="Arial"/>
          <w:color w:val="2D2D2D"/>
          <w:sz w:val="22"/>
          <w:szCs w:val="22"/>
        </w:rPr>
        <w:t xml:space="preserve">	Introduction and Problem Formulation</w:t>
      </w:r>
    </w:p>
    <w:p>
      <w:pPr>
        <w:tabs>
          <w:tab w:val="left" w:pos="600"/>
        </w:tabs>
        <w:spacing w:after="60" w:before="60"/>
      </w:pPr>
      <w:r>
        <w:rPr>
          <w:rFonts w:ascii="Arial" w:cs="Arial" w:eastAsia="Arial" w:hAnsi="Arial"/>
          <w:b/>
          <w:bCs/>
          <w:color w:val="9D2235"/>
          <w:sz w:val="22"/>
          <w:szCs w:val="22"/>
        </w:rPr>
        <w:t xml:space="preserve">2.</w:t>
      </w:r>
      <w:r>
        <w:rPr>
          <w:rFonts w:ascii="Arial" w:cs="Arial" w:eastAsia="Arial" w:hAnsi="Arial"/>
          <w:color w:val="2D2D2D"/>
          <w:sz w:val="22"/>
          <w:szCs w:val="22"/>
        </w:rPr>
        <w:t xml:space="preserve">	The Financial Ripple Propagation Model</w:t>
      </w:r>
    </w:p>
    <w:p>
      <w:pPr>
        <w:tabs>
          <w:tab w:val="left" w:pos="600"/>
        </w:tabs>
        <w:spacing w:after="60" w:before="60"/>
      </w:pPr>
      <w:r>
        <w:rPr>
          <w:rFonts w:ascii="Arial" w:cs="Arial" w:eastAsia="Arial" w:hAnsi="Arial"/>
          <w:b/>
          <w:bCs/>
          <w:color w:val="9D2235"/>
          <w:sz w:val="22"/>
          <w:szCs w:val="22"/>
        </w:rPr>
        <w:t xml:space="preserve">3.</w:t>
      </w:r>
      <w:r>
        <w:rPr>
          <w:rFonts w:ascii="Arial" w:cs="Arial" w:eastAsia="Arial" w:hAnsi="Arial"/>
          <w:color w:val="2D2D2D"/>
          <w:sz w:val="22"/>
          <w:szCs w:val="22"/>
        </w:rPr>
        <w:t xml:space="preserve">	Motivation and Economic Significance</w:t>
      </w:r>
    </w:p>
    <w:p>
      <w:pPr>
        <w:tabs>
          <w:tab w:val="left" w:pos="600"/>
        </w:tabs>
        <w:spacing w:after="60" w:before="60"/>
      </w:pPr>
      <w:r>
        <w:rPr>
          <w:rFonts w:ascii="Arial" w:cs="Arial" w:eastAsia="Arial" w:hAnsi="Arial"/>
          <w:b/>
          <w:bCs/>
          <w:color w:val="9D2235"/>
          <w:sz w:val="22"/>
          <w:szCs w:val="22"/>
        </w:rPr>
        <w:t xml:space="preserve">4.</w:t>
      </w:r>
      <w:r>
        <w:rPr>
          <w:rFonts w:ascii="Arial" w:cs="Arial" w:eastAsia="Arial" w:hAnsi="Arial"/>
          <w:color w:val="2D2D2D"/>
          <w:sz w:val="22"/>
          <w:szCs w:val="22"/>
        </w:rPr>
        <w:t xml:space="preserve">	Literature Review</w:t>
      </w:r>
    </w:p>
    <w:p>
      <w:pPr>
        <w:tabs>
          <w:tab w:val="left" w:pos="600"/>
        </w:tabs>
        <w:spacing w:after="60" w:before="60"/>
      </w:pPr>
      <w:r>
        <w:rPr>
          <w:rFonts w:ascii="Arial" w:cs="Arial" w:eastAsia="Arial" w:hAnsi="Arial"/>
          <w:b/>
          <w:bCs/>
          <w:color w:val="9D2235"/>
          <w:sz w:val="22"/>
          <w:szCs w:val="22"/>
        </w:rPr>
        <w:t xml:space="preserve">5.</w:t>
      </w:r>
      <w:r>
        <w:rPr>
          <w:rFonts w:ascii="Arial" w:cs="Arial" w:eastAsia="Arial" w:hAnsi="Arial"/>
          <w:color w:val="2D2D2D"/>
          <w:sz w:val="22"/>
          <w:szCs w:val="22"/>
        </w:rPr>
        <w:t xml:space="preserve">	LLM Capability Assessment</w:t>
      </w:r>
    </w:p>
    <w:p>
      <w:pPr>
        <w:tabs>
          <w:tab w:val="left" w:pos="600"/>
        </w:tabs>
        <w:spacing w:after="60" w:before="60"/>
      </w:pPr>
      <w:r>
        <w:rPr>
          <w:rFonts w:ascii="Arial" w:cs="Arial" w:eastAsia="Arial" w:hAnsi="Arial"/>
          <w:b/>
          <w:bCs/>
          <w:color w:val="9D2235"/>
          <w:sz w:val="22"/>
          <w:szCs w:val="22"/>
        </w:rPr>
        <w:t xml:space="preserve">6.</w:t>
      </w:r>
      <w:r>
        <w:rPr>
          <w:rFonts w:ascii="Arial" w:cs="Arial" w:eastAsia="Arial" w:hAnsi="Arial"/>
          <w:color w:val="2D2D2D"/>
          <w:sz w:val="22"/>
          <w:szCs w:val="22"/>
        </w:rPr>
        <w:t xml:space="preserve">	The Five-Agent Architecture</w:t>
      </w:r>
    </w:p>
    <w:p>
      <w:pPr>
        <w:tabs>
          <w:tab w:val="left" w:pos="600"/>
        </w:tabs>
        <w:spacing w:after="60" w:before="60"/>
      </w:pPr>
      <w:r>
        <w:rPr>
          <w:rFonts w:ascii="Arial" w:cs="Arial" w:eastAsia="Arial" w:hAnsi="Arial"/>
          <w:b/>
          <w:bCs/>
          <w:color w:val="9D2235"/>
          <w:sz w:val="22"/>
          <w:szCs w:val="22"/>
        </w:rPr>
        <w:t xml:space="preserve">7.</w:t>
      </w:r>
      <w:r>
        <w:rPr>
          <w:rFonts w:ascii="Arial" w:cs="Arial" w:eastAsia="Arial" w:hAnsi="Arial"/>
          <w:color w:val="2D2D2D"/>
          <w:sz w:val="22"/>
          <w:szCs w:val="22"/>
        </w:rPr>
        <w:t xml:space="preserve">	The Three-Tier Event Classification Framework</w:t>
      </w:r>
    </w:p>
    <w:p>
      <w:pPr>
        <w:tabs>
          <w:tab w:val="left" w:pos="600"/>
        </w:tabs>
        <w:spacing w:after="60" w:before="60"/>
      </w:pPr>
      <w:r>
        <w:rPr>
          <w:rFonts w:ascii="Arial" w:cs="Arial" w:eastAsia="Arial" w:hAnsi="Arial"/>
          <w:b/>
          <w:bCs/>
          <w:color w:val="9D2235"/>
          <w:sz w:val="22"/>
          <w:szCs w:val="22"/>
        </w:rPr>
        <w:t xml:space="preserve">8.</w:t>
      </w:r>
      <w:r>
        <w:rPr>
          <w:rFonts w:ascii="Arial" w:cs="Arial" w:eastAsia="Arial" w:hAnsi="Arial"/>
          <w:color w:val="2D2D2D"/>
          <w:sz w:val="22"/>
          <w:szCs w:val="22"/>
        </w:rPr>
        <w:t xml:space="preserve">	Dynamic Knowledge Graph Construction</w:t>
      </w:r>
    </w:p>
    <w:p>
      <w:pPr>
        <w:tabs>
          <w:tab w:val="left" w:pos="600"/>
        </w:tabs>
        <w:spacing w:after="60" w:before="60"/>
      </w:pPr>
      <w:r>
        <w:rPr>
          <w:rFonts w:ascii="Arial" w:cs="Arial" w:eastAsia="Arial" w:hAnsi="Arial"/>
          <w:b/>
          <w:bCs/>
          <w:color w:val="9D2235"/>
          <w:sz w:val="22"/>
          <w:szCs w:val="22"/>
        </w:rPr>
        <w:t xml:space="preserve">9.</w:t>
      </w:r>
      <w:r>
        <w:rPr>
          <w:rFonts w:ascii="Arial" w:cs="Arial" w:eastAsia="Arial" w:hAnsi="Arial"/>
          <w:color w:val="2D2D2D"/>
          <w:sz w:val="22"/>
          <w:szCs w:val="22"/>
        </w:rPr>
        <w:t xml:space="preserve">	Geopolitical Energy Ripple Chain</w:t>
      </w:r>
    </w:p>
    <w:p>
      <w:pPr>
        <w:tabs>
          <w:tab w:val="left" w:pos="600"/>
        </w:tabs>
        <w:spacing w:after="60" w:before="60"/>
      </w:pPr>
      <w:r>
        <w:rPr>
          <w:rFonts w:ascii="Arial" w:cs="Arial" w:eastAsia="Arial" w:hAnsi="Arial"/>
          <w:b/>
          <w:bCs/>
          <w:color w:val="9D2235"/>
          <w:sz w:val="22"/>
          <w:szCs w:val="22"/>
        </w:rPr>
        <w:t xml:space="preserve">10.</w:t>
      </w:r>
      <w:r>
        <w:rPr>
          <w:rFonts w:ascii="Arial" w:cs="Arial" w:eastAsia="Arial" w:hAnsi="Arial"/>
          <w:color w:val="2D2D2D"/>
          <w:sz w:val="22"/>
          <w:szCs w:val="22"/>
        </w:rPr>
        <w:t xml:space="preserve">	Macroeconomic and Consumer Impact Layer</w:t>
      </w:r>
    </w:p>
    <w:p>
      <w:pPr>
        <w:tabs>
          <w:tab w:val="left" w:pos="600"/>
        </w:tabs>
        <w:spacing w:after="60" w:before="60"/>
      </w:pPr>
      <w:r>
        <w:rPr>
          <w:rFonts w:ascii="Arial" w:cs="Arial" w:eastAsia="Arial" w:hAnsi="Arial"/>
          <w:b/>
          <w:bCs/>
          <w:color w:val="9D2235"/>
          <w:sz w:val="22"/>
          <w:szCs w:val="22"/>
        </w:rPr>
        <w:t xml:space="preserve">11.</w:t>
      </w:r>
      <w:r>
        <w:rPr>
          <w:rFonts w:ascii="Arial" w:cs="Arial" w:eastAsia="Arial" w:hAnsi="Arial"/>
          <w:color w:val="2D2D2D"/>
          <w:sz w:val="22"/>
          <w:szCs w:val="22"/>
        </w:rPr>
        <w:t xml:space="preserve">	Open Research Problems</w:t>
      </w:r>
    </w:p>
    <w:p>
      <w:pPr>
        <w:tabs>
          <w:tab w:val="left" w:pos="600"/>
        </w:tabs>
        <w:spacing w:after="60" w:before="60"/>
      </w:pPr>
      <w:r>
        <w:rPr>
          <w:rFonts w:ascii="Arial" w:cs="Arial" w:eastAsia="Arial" w:hAnsi="Arial"/>
          <w:b/>
          <w:bCs/>
          <w:color w:val="9D2235"/>
          <w:sz w:val="22"/>
          <w:szCs w:val="22"/>
        </w:rPr>
        <w:t xml:space="preserve">12.</w:t>
      </w:r>
      <w:r>
        <w:rPr>
          <w:rFonts w:ascii="Arial" w:cs="Arial" w:eastAsia="Arial" w:hAnsi="Arial"/>
          <w:color w:val="2D2D2D"/>
          <w:sz w:val="22"/>
          <w:szCs w:val="22"/>
        </w:rPr>
        <w:t xml:space="preserve">	Evaluation Framework</w:t>
      </w:r>
    </w:p>
    <w:p>
      <w:pPr>
        <w:tabs>
          <w:tab w:val="left" w:pos="600"/>
        </w:tabs>
        <w:spacing w:after="60" w:before="60"/>
      </w:pPr>
      <w:r>
        <w:rPr>
          <w:rFonts w:ascii="Arial" w:cs="Arial" w:eastAsia="Arial" w:hAnsi="Arial"/>
          <w:b/>
          <w:bCs/>
          <w:color w:val="9D2235"/>
          <w:sz w:val="22"/>
          <w:szCs w:val="22"/>
        </w:rPr>
        <w:t xml:space="preserve">13.</w:t>
      </w:r>
      <w:r>
        <w:rPr>
          <w:rFonts w:ascii="Arial" w:cs="Arial" w:eastAsia="Arial" w:hAnsi="Arial"/>
          <w:color w:val="2D2D2D"/>
          <w:sz w:val="22"/>
          <w:szCs w:val="22"/>
        </w:rPr>
        <w:t xml:space="preserve">	Expected Academic Contributions</w:t>
      </w:r>
    </w:p>
    <w:p>
      <w:pPr>
        <w:tabs>
          <w:tab w:val="left" w:pos="600"/>
        </w:tabs>
        <w:spacing w:after="60" w:before="60"/>
      </w:pPr>
      <w:r>
        <w:rPr>
          <w:rFonts w:ascii="Arial" w:cs="Arial" w:eastAsia="Arial" w:hAnsi="Arial"/>
          <w:b/>
          <w:bCs/>
          <w:color w:val="9D2235"/>
          <w:sz w:val="22"/>
          <w:szCs w:val="22"/>
        </w:rPr>
        <w:t xml:space="preserve">14.</w:t>
      </w:r>
      <w:r>
        <w:rPr>
          <w:rFonts w:ascii="Arial" w:cs="Arial" w:eastAsia="Arial" w:hAnsi="Arial"/>
          <w:color w:val="2D2D2D"/>
          <w:sz w:val="22"/>
          <w:szCs w:val="22"/>
        </w:rPr>
        <w:t xml:space="preserve">	Research Timeline and Conclusion</w:t>
      </w:r>
    </w:p>
    <w:p>
      <w:pPr>
        <w:tabs>
          <w:tab w:val="left" w:pos="600"/>
        </w:tabs>
        <w:spacing w:after="60" w:before="60"/>
      </w:pPr>
      <w:r>
        <w:rPr>
          <w:rFonts w:ascii="Arial" w:cs="Arial" w:eastAsia="Arial" w:hAnsi="Arial"/>
          <w:b w:val="false"/>
          <w:bCs w:val="false"/>
          <w:color w:val="2D2D2D"/>
          <w:sz w:val="22"/>
          <w:szCs w:val="22"/>
        </w:rPr>
        <w:t xml:space="preserve"/>
      </w:r>
      <w:r>
        <w:rPr>
          <w:rFonts w:ascii="Arial" w:cs="Arial" w:eastAsia="Arial" w:hAnsi="Arial"/>
          <w:color w:val="2D2D2D"/>
          <w:sz w:val="22"/>
          <w:szCs w:val="22"/>
        </w:rPr>
        <w:t xml:space="preserve">	References</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1: Introduction and Problem Formulation</w:t>
      </w:r>
    </w:p>
    <w:p>
      <w:pPr>
        <w:spacing w:after="120" w:before="60" w:line="320" w:lineRule="auto"/>
        <w:jc w:val="both"/>
      </w:pPr>
      <w:r>
        <w:rPr>
          <w:rFonts w:ascii="Arial" w:cs="Arial" w:eastAsia="Arial" w:hAnsi="Arial"/>
          <w:color w:val="2D2D2D"/>
          <w:sz w:val="22"/>
          <w:szCs w:val="22"/>
        </w:rPr>
        <w:t xml:space="preserve">The foundational assumption in almost every AI-powered financial analysis tool is this: the user provides a list of companies, and the system evaluates what happens to them. This assumption is so deeply embedded that it is rarely questioned. It operates as an invisible constraint on what the system can discover.</w:t>
      </w:r>
    </w:p>
    <w:p>
      <w:pPr>
        <w:spacing w:after="120" w:before="60" w:line="320" w:lineRule="auto"/>
        <w:jc w:val="both"/>
      </w:pPr>
      <w:r>
        <w:rPr>
          <w:rFonts w:ascii="Arial" w:cs="Arial" w:eastAsia="Arial" w:hAnsi="Arial"/>
          <w:color w:val="2D2D2D"/>
          <w:sz w:val="22"/>
          <w:szCs w:val="22"/>
        </w:rPr>
        <w:t xml:space="preserve">This does not match how financial professionals actually work. When a major technology company announces a new processor architecture, a good equity analyst does not look at just that company. They immediately think about the fabrication partner whose order volume just shifted, competitors who now face a performance gap, and enterprise customers whose infrastructure planning just changed. That graph traversal happens naturally, in the analyst's head, within seconds. It is not separable from the analytical work. It is the analytical work.</w:t>
      </w:r>
    </w:p>
    <w:p>
      <w:pPr>
        <w:spacing w:after="120" w:before="60" w:line="320" w:lineRule="auto"/>
        <w:jc w:val="both"/>
      </w:pPr>
      <w:r>
        <w:rPr>
          <w:rFonts w:ascii="Arial" w:cs="Arial" w:eastAsia="Arial" w:hAnsi="Arial"/>
          <w:color w:val="2D2D2D"/>
          <w:sz w:val="22"/>
          <w:szCs w:val="22"/>
        </w:rPr>
        <w:t xml:space="preserve">Current systems miss this entirely. They are built for depth on known entities, not breadth across unknown ones. AFRED is designed around the question those systems skip: given a financial event, which companies are implicated, and how?</w:t>
      </w:r>
    </w:p>
    <w:p>
      <w:pPr>
        <w:pStyle w:val="Heading2"/>
        <w:spacing w:after="80" w:before="240"/>
      </w:pPr>
      <w:r>
        <w:rPr>
          <w:rFonts w:ascii="Arial" w:cs="Arial" w:eastAsia="Arial" w:hAnsi="Arial"/>
          <w:b/>
          <w:bCs/>
          <w:color w:val="2D2D2D"/>
          <w:sz w:val="24"/>
          <w:szCs w:val="24"/>
        </w:rPr>
        <w:t xml:space="preserve">1.1 Formal Problem Statement</w:t>
      </w:r>
    </w:p>
    <w:p>
      <w:pPr>
        <w:spacing w:after="120" w:before="60" w:line="320" w:lineRule="auto"/>
        <w:jc w:val="both"/>
      </w:pPr>
      <w:r>
        <w:rPr>
          <w:rFonts w:ascii="Arial" w:cs="Arial" w:eastAsia="Arial" w:hAnsi="Arial"/>
          <w:color w:val="2D2D2D"/>
          <w:sz w:val="22"/>
          <w:szCs w:val="22"/>
        </w:rPr>
        <w:t xml:space="preserve">AFRED is formally defined as follows. Given a raw, unstructured financial event description E (a news headline, press release, earnings announcement, regulatory filing, or product launch), the system must autonomously produce an ordered impact set I where each element takes the form:</w:t>
      </w:r>
    </w:p>
    <w:p>
      <w:pPr>
        <w:spacing w:after="120" w:before="120"/>
        <w:jc w:val="center"/>
      </w:pPr>
      <w:r>
        <w:rPr>
          <w:rFonts w:ascii="Courier New" w:cs="Courier New" w:eastAsia="Courier New" w:hAnsi="Courier New"/>
          <w:color w:val="2D2D2D"/>
          <w:sz w:val="22"/>
          <w:szCs w:val="22"/>
        </w:rPr>
        <w:t xml:space="preserve">I = { (entityᵢ, mechanismᵢ, directionᵢ, magnitudeᵢ, confidenceᵢ, ringᵢ) }</w:t>
      </w:r>
    </w:p>
    <w:p>
      <w:pPr>
        <w:spacing w:after="120" w:before="60" w:line="320" w:lineRule="auto"/>
        <w:jc w:val="both"/>
      </w:pPr>
      <w:r>
        <w:rPr>
          <w:rFonts w:ascii="Arial" w:cs="Arial" w:eastAsia="Arial" w:hAnsi="Arial"/>
          <w:color w:val="2D2D2D"/>
          <w:sz w:val="22"/>
          <w:szCs w:val="22"/>
        </w:rPr>
        <w:t xml:space="preserve">Here, entityᵢ is a publicly traded company not explicitly mentioned in E. The variable mechanismᵢ defines the specific causal pathway linking that entity to the event. Directionᵢ indicates the expected market impact trajectory. Magnitudeᵢ estimates the severity of that impact. Confidenceᵢ is the system's self-assessed probability on its own inference. And ringᵢ is the propagation distance from the source event, measured in network hops.</w:t>
      </w:r>
    </w:p>
    <w:p>
      <w:pPr>
        <w:spacing w:after="120" w:before="60" w:line="320" w:lineRule="auto"/>
        <w:jc w:val="both"/>
      </w:pPr>
      <w:r>
        <w:rPr>
          <w:rFonts w:ascii="Arial" w:cs="Arial" w:eastAsia="Arial" w:hAnsi="Arial"/>
          <w:color w:val="2D2D2D"/>
          <w:sz w:val="22"/>
          <w:szCs w:val="22"/>
        </w:rPr>
        <w:t xml:space="preserve">The critical clause is the first one: entity not explicitly mentioned. AFRED's job is discovery, not evaluation. Anyone can evaluate Intel once you tell it to look at Intel. The harder question is knowing to look at Intel in the first place.</w:t>
      </w:r>
    </w:p>
    <w:p>
      <w:pPr>
        <w:pStyle w:val="Heading2"/>
        <w:spacing w:after="80" w:before="240"/>
      </w:pPr>
      <w:r>
        <w:rPr>
          <w:rFonts w:ascii="Arial" w:cs="Arial" w:eastAsia="Arial" w:hAnsi="Arial"/>
          <w:b/>
          <w:bCs/>
          <w:color w:val="2D2D2D"/>
          <w:sz w:val="24"/>
          <w:szCs w:val="24"/>
        </w:rPr>
        <w:t xml:space="preserve">1.2 What Empirical Work Added to the Problem</w:t>
      </w:r>
    </w:p>
    <w:p>
      <w:pPr>
        <w:pBdr>
          <w:top w:val="none" w:sz="0" w:space="0" w:color="auto"/>
          <w:left w:val="single" w:color="9D2235" w:sz="12" w:space="6"/>
          <w:bottom w:val="none" w:sz="0" w:space="0" w:color="auto"/>
          <w:right w:val="none" w:sz="0" w:space="0" w:color="auto"/>
        </w:pBdr>
        <w:spacing w:after="80" w:before="80" w:line="320" w:lineRule="auto"/>
        <w:ind w:left="720" w:right="360"/>
        <w:jc w:val="both"/>
      </w:pPr>
      <w:r>
        <w:rPr>
          <w:rFonts w:ascii="Arial" w:cs="Arial" w:eastAsia="Arial" w:hAnsi="Arial"/>
          <w:b/>
          <w:bCs/>
          <w:color w:val="9D2235"/>
          <w:sz w:val="22"/>
          <w:szCs w:val="22"/>
        </w:rPr>
        <w:t xml:space="preserve">Research Finding  </w:t>
      </w:r>
      <w:r>
        <w:rPr>
          <w:rFonts w:ascii="Arial" w:cs="Arial" w:eastAsia="Arial" w:hAnsi="Arial"/>
          <w:color w:val="2D2D2D"/>
          <w:sz w:val="22"/>
          <w:szCs w:val="22"/>
        </w:rPr>
        <w:t xml:space="preserve">Building and testing the pipeline revealed that the formal output specification needs to accommodate two additional entity types beyond publicly traded companies. Macroeconomic indicator nodes (CPI, Fed funds rate, mortgage rates) and consumer welfare nodes (household purchasing power, food expenditure share) are real downstream effects of large geopolitical events that the corporate entity graph cannot represent. The complete ripple chain from an event like the Strait of Hormuz closure extends through fertilizer prices and food inflation to Federal Reserve rate decisions and the affordability of a home mortgage. Stopping the analysis at the corporate equity layer captures the financial market effects but misses the broader economic impact.</w:t>
      </w:r>
    </w:p>
    <w:p>
      <w:pPr>
        <w:pBdr>
          <w:top w:val="none" w:sz="0" w:space="0" w:color="auto"/>
          <w:left w:val="single" w:color="9D2235" w:sz="12" w:space="6"/>
          <w:bottom w:val="none" w:sz="0" w:space="0" w:color="auto"/>
          <w:right w:val="none" w:sz="0" w:space="0" w:color="auto"/>
        </w:pBdr>
        <w:spacing w:after="80" w:before="80" w:line="320" w:lineRule="auto"/>
        <w:ind w:left="720" w:right="360"/>
        <w:jc w:val="both"/>
      </w:pPr>
      <w:r>
        <w:rPr>
          <w:rFonts w:ascii="Arial" w:cs="Arial" w:eastAsia="Arial" w:hAnsi="Arial"/>
          <w:b/>
          <w:bCs/>
          <w:color w:val="9D2235"/>
          <w:sz w:val="22"/>
          <w:szCs w:val="22"/>
        </w:rPr>
        <w:t xml:space="preserve">Research Finding  </w:t>
      </w:r>
      <w:r>
        <w:rPr>
          <w:rFonts w:ascii="Arial" w:cs="Arial" w:eastAsia="Arial" w:hAnsi="Arial"/>
          <w:color w:val="2D2D2D"/>
          <w:sz w:val="22"/>
          <w:szCs w:val="22"/>
        </w:rPr>
        <w:t xml:space="preserve">The problem also needs to handle geopolitical events where the source entity is a sovereign nation or geographic chokepoint rather than a publicly traded company. The Iran war test demonstrated this clearly: the system correctly classified the event, correctly extracted the relevant entities, and correctly found that none of them existed in any registered corporate knowledge graph. The pipeline halted cleanly with a diagnostic output. That is the right behavior, but it points to a gap the original problem formulation did not address.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3960"/>
      </w:tblGrid>
      <w:tr>
        <w:trPr>
          <w:tblHeader/>
        </w:trPr>
        <w:tc>
          <w:tcPr>
            <w:tcW w:type="dxa" w:w="16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Capability</w:t>
            </w:r>
          </w:p>
        </w:tc>
        <w:tc>
          <w:tcPr>
            <w:tcW w:type="dxa" w:w="19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Original Formulation</w:t>
            </w:r>
          </w:p>
        </w:tc>
        <w:tc>
          <w:tcPr>
            <w:tcW w:type="dxa" w:w="19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Updated Understanding</w:t>
            </w:r>
          </w:p>
        </w:tc>
        <w:tc>
          <w:tcPr>
            <w:tcW w:type="dxa" w:w="39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What Changed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Source entity type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Publicly traded company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Publicly traded company, sovereign nation, or geographic chokepoint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Iran war test showed the pipeline needs a path for non-corporate source entities</w:t>
            </w:r>
          </w:p>
        </w:tc>
      </w:tr>
      <w:tr>
        <w:tc>
          <w:tcPr>
            <w:tcW w:type="dxa" w:w="1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Output entity type</w:t>
            </w:r>
          </w:p>
        </w:tc>
        <w:tc>
          <w:tcPr>
            <w:tcW w:type="dxa" w:w="19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Publicly traded companies</w:t>
            </w:r>
          </w:p>
        </w:tc>
        <w:tc>
          <w:tcPr>
            <w:tcW w:type="dxa" w:w="19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Companies plus macroeconomic indicators and consumer welfare nodes</w:t>
            </w:r>
          </w:p>
        </w:tc>
        <w:tc>
          <w:tcPr>
            <w:tcW w:type="dxa" w:w="39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The Strait of Hormuz analysis traces to Fed rate decisions and household purchasing power, both of which are real outputs worth capturing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Dual-nature events</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Not addressed</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Events spanning two classifications need relationship types drawn from both categories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Apple M3 is both a product launch and a technical breakthrough simultaneously; treating it as one category produces a narrower candidate set</w:t>
            </w:r>
          </w:p>
        </w:tc>
      </w:tr>
      <w:tr>
        <w:tc>
          <w:tcPr>
            <w:tcW w:type="dxa" w:w="1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Pipeline halt behavior</w:t>
            </w:r>
          </w:p>
        </w:tc>
        <w:tc>
          <w:tcPr>
            <w:tcW w:type="dxa" w:w="19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Not specified</w:t>
            </w:r>
          </w:p>
        </w:tc>
        <w:tc>
          <w:tcPr>
            <w:tcW w:type="dxa" w:w="19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System halts cleanly when source entity not found in any registered graph, preserving diagnostic output</w:t>
            </w:r>
          </w:p>
        </w:tc>
        <w:tc>
          <w:tcPr>
            <w:tcW w:type="dxa" w:w="39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This came out of the Iran war test and is correct behavior rather than a failure</w:t>
            </w:r>
          </w:p>
        </w:tc>
      </w:tr>
    </w:tbl>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2: The Financial Ripple Propagation Model</w:t>
      </w:r>
    </w:p>
    <w:p>
      <w:pPr>
        <w:spacing w:after="120" w:before="60" w:line="320" w:lineRule="auto"/>
        <w:jc w:val="both"/>
      </w:pPr>
      <w:r>
        <w:rPr>
          <w:rFonts w:ascii="Arial" w:cs="Arial" w:eastAsia="Arial" w:hAnsi="Arial"/>
          <w:color w:val="2D2D2D"/>
          <w:sz w:val="22"/>
          <w:szCs w:val="22"/>
        </w:rPr>
        <w:t xml:space="preserve">Financial market events do not stay contained. They propagate outward through corporate networks in a pattern that resembles wave diffusion: strongest at the source, diminishing at each successive tier, eventually fading into noise. Understanding this structure is what makes AFRED tractable. Without it, the search space is effectively unbounded.</w:t>
      </w:r>
    </w:p>
    <w:p>
      <w:pPr>
        <w:pStyle w:val="Heading2"/>
        <w:spacing w:after="80" w:before="240"/>
      </w:pPr>
      <w:r>
        <w:rPr>
          <w:rFonts w:ascii="Arial" w:cs="Arial" w:eastAsia="Arial" w:hAnsi="Arial"/>
          <w:b/>
          <w:bCs/>
          <w:color w:val="2D2D2D"/>
          <w:sz w:val="24"/>
          <w:szCs w:val="24"/>
        </w:rPr>
        <w:t xml:space="preserve">2.1 The Concentric Ring Framework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200"/>
        <w:gridCol w:w="1200"/>
        <w:gridCol w:w="1200"/>
        <w:gridCol w:w="2760"/>
      </w:tblGrid>
      <w:tr>
        <w:trPr>
          <w:tblHeader/>
        </w:trPr>
        <w:tc>
          <w:tcPr>
            <w:tcW w:type="dxa" w:w="10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Ring</w:t>
            </w:r>
          </w:p>
        </w:tc>
        <w:tc>
          <w:tcPr>
            <w:tcW w:type="dxa" w:w="20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Description</w:t>
            </w:r>
          </w:p>
        </w:tc>
        <w:tc>
          <w:tcPr>
            <w:tcW w:type="dxa" w:w="1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Signal Strength</w:t>
            </w:r>
          </w:p>
        </w:tc>
        <w:tc>
          <w:tcPr>
            <w:tcW w:type="dxa" w:w="1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Time to Price</w:t>
            </w:r>
          </w:p>
        </w:tc>
        <w:tc>
          <w:tcPr>
            <w:tcW w:type="dxa" w:w="1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Analytical Value</w:t>
            </w:r>
          </w:p>
        </w:tc>
        <w:tc>
          <w:tcPr>
            <w:tcW w:type="dxa" w:w="27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Observed in Prototype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Ring 0 (Source)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The primary company named in the event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Strongest; near-certain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Minutes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Low: algorithmic traders price this instantly</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Apple in the M3 event. Already priced before the pipeline completes.</w:t>
            </w:r>
          </w:p>
        </w:tc>
      </w:tr>
      <w:tr>
        <w:tc>
          <w:tcPr>
            <w:tcW w:type="dxa" w:w="1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Ring 1 (Direct)</w:t>
            </w:r>
          </w:p>
        </w:tc>
        <w:tc>
          <w:tcPr>
            <w:tcW w:type="dxa" w:w="2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Direct competitors, tier-one suppliers, key customers</w:t>
            </w:r>
          </w:p>
        </w:tc>
        <w:tc>
          <w:tcPr>
            <w:tcW w:type="dxa" w:w="1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Strong; highly likely measurable</w:t>
            </w:r>
          </w:p>
        </w:tc>
        <w:tc>
          <w:tcPr>
            <w:tcW w:type="dxa" w:w="1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Hours to 1-2 days</w:t>
            </w:r>
          </w:p>
        </w:tc>
        <w:tc>
          <w:tcPr>
            <w:tcW w:type="dxa" w:w="1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Highest: clear signal with actionable timing window</w:t>
            </w:r>
          </w:p>
        </w:tc>
        <w:tc>
          <w:tcPr>
            <w:tcW w:type="dxa" w:w="27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TSMC +0.175, Intel -0.266, Qualcomm -0.294, ARM +0.098 from Apple M3. AWS -0.263, Azure -0.216, GCP -0.132 from Intel's decline.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Ring 2 (Indirect)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Indirect dependents and secondary competitors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Moderate; subject to mixed signals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Days to 1-2 weeks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Moderate: needs sophisticated causal reasoning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AMD +0.106, ASML -0.133 in the semiconductor graph from Intel's position.</w:t>
            </w:r>
          </w:p>
        </w:tc>
      </w:tr>
      <w:tr>
        <w:tc>
          <w:tcPr>
            <w:tcW w:type="dxa" w:w="1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Ring 3+ (Macro)</w:t>
            </w:r>
          </w:p>
        </w:tc>
        <w:tc>
          <w:tcPr>
            <w:tcW w:type="dxa" w:w="2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Macroeconomic indicators, consumer welfare effects</w:t>
            </w:r>
          </w:p>
        </w:tc>
        <w:tc>
          <w:tcPr>
            <w:tcW w:type="dxa" w:w="1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Weak at company level; real at aggregate</w:t>
            </w:r>
          </w:p>
        </w:tc>
        <w:tc>
          <w:tcPr>
            <w:tcW w:type="dxa" w:w="1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Weeks to months</w:t>
            </w:r>
          </w:p>
        </w:tc>
        <w:tc>
          <w:tcPr>
            <w:tcW w:type="dxa" w:w="1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High for policy analysis; less actionable for equity trading</w:t>
            </w:r>
          </w:p>
        </w:tc>
        <w:tc>
          <w:tcPr>
            <w:tcW w:type="dxa" w:w="27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Iran war: inflation forecast moved from 2.4% to 4.2%; Fed rate cut expectations eliminated. Home purchasing power fell.</w:t>
            </w:r>
          </w:p>
        </w:tc>
      </w:tr>
    </w:tbl>
    <w:p>
      <w:pPr>
        <w:spacing w:after="120" w:before="120"/>
      </w:pPr>
    </w:p>
    <w:p>
      <w:pPr>
        <w:spacing w:after="120" w:before="60" w:line="320" w:lineRule="auto"/>
        <w:jc w:val="both"/>
      </w:pPr>
      <w:r>
        <w:rPr>
          <w:rFonts w:ascii="Arial" w:cs="Arial" w:eastAsia="Arial" w:hAnsi="Arial"/>
          <w:color w:val="2D2D2D"/>
          <w:sz w:val="22"/>
          <w:szCs w:val="22"/>
        </w:rPr>
        <w:t xml:space="preserve">The practical implication is that Ring 1 is where AFRED generates the most analytical value for equity investors. The signal is strong, the timing is actionable, and the connections are discoverable through the knowledge graph without excessive causal uncertainty. Ring 2 is useful with appropriate confidence discounting. Ring 3 corporate effects are marginal. Ring 3+ macroeconomic effects are important but require a different model layer than corporate graph traversal.</w:t>
      </w:r>
    </w:p>
    <w:p>
      <w:pPr>
        <w:pStyle w:val="Heading2"/>
        <w:spacing w:after="80" w:before="240"/>
      </w:pPr>
      <w:r>
        <w:rPr>
          <w:rFonts w:ascii="Arial" w:cs="Arial" w:eastAsia="Arial" w:hAnsi="Arial"/>
          <w:b/>
          <w:bCs/>
          <w:color w:val="2D2D2D"/>
          <w:sz w:val="24"/>
          <w:szCs w:val="24"/>
        </w:rPr>
        <w:t xml:space="preserve">2.2 Signal Attenuation Dynamics</w:t>
      </w:r>
    </w:p>
    <w:p>
      <w:pPr>
        <w:spacing w:after="120" w:before="60" w:line="320" w:lineRule="auto"/>
        <w:jc w:val="both"/>
      </w:pPr>
      <w:r>
        <w:rPr>
          <w:rFonts w:ascii="Arial" w:cs="Arial" w:eastAsia="Arial" w:hAnsi="Arial"/>
          <w:color w:val="2D2D2D"/>
          <w:sz w:val="22"/>
          <w:szCs w:val="22"/>
        </w:rPr>
        <w:t xml:space="preserve">Four mechanisms drive the attenuation of a financial signal across successive rings. The first three were anticipated in the original architecture design. The fourth came out of empirical testing.</w:t>
      </w:r>
    </w:p>
    <w:p>
      <w:pPr>
        <w:pStyle w:val="ListParagraph"/>
        <w:numPr>
          <w:ilvl w:val="0"/>
          <w:numId w:val="2"/>
        </w:numPr>
        <w:spacing w:after="60" w:before="60" w:line="300" w:lineRule="auto"/>
      </w:pPr>
      <w:r>
        <w:rPr>
          <w:rFonts w:ascii="Arial" w:cs="Arial" w:eastAsia="Arial" w:hAnsi="Arial"/>
          <w:color w:val="2D2D2D"/>
          <w:sz w:val="22"/>
          <w:szCs w:val="22"/>
        </w:rPr>
        <w:t xml:space="preserve">Revenue exposure dilution: at each successive hop, the downstream entity derives a smaller fraction of revenue from the upstream connection. TSMC derives roughly 25% of revenue from Apple. ASML derives roughly 15% of revenue from TSMC. ASML's net exposure to an Apple-specific event is therefore diluted to around 3-4%, which may be indistinguishable from quarterly variance.</w:t>
      </w:r>
    </w:p>
    <w:p>
      <w:pPr>
        <w:pStyle w:val="ListParagraph"/>
        <w:numPr>
          <w:ilvl w:val="0"/>
          <w:numId w:val="2"/>
        </w:numPr>
        <w:spacing w:after="60" w:before="60" w:line="300" w:lineRule="auto"/>
      </w:pPr>
      <w:r>
        <w:rPr>
          <w:rFonts w:ascii="Arial" w:cs="Arial" w:eastAsia="Arial" w:hAnsi="Arial"/>
          <w:color w:val="2D2D2D"/>
          <w:sz w:val="22"/>
          <w:szCs w:val="22"/>
        </w:rPr>
        <w:t xml:space="preserve">Causal uncertainty accumulation: every additional reasoning step introduces a layer of probabilistic uncertainty. Confidence degrades across rings not because the relationships become less real, but because the chain of inference becomes longer and each link is independently uncertain.</w:t>
      </w:r>
    </w:p>
    <w:p>
      <w:pPr>
        <w:pStyle w:val="ListParagraph"/>
        <w:numPr>
          <w:ilvl w:val="0"/>
          <w:numId w:val="2"/>
        </w:numPr>
        <w:spacing w:after="60" w:before="60" w:line="300" w:lineRule="auto"/>
      </w:pPr>
      <w:r>
        <w:rPr>
          <w:rFonts w:ascii="Arial" w:cs="Arial" w:eastAsia="Arial" w:hAnsi="Arial"/>
          <w:color w:val="2D2D2D"/>
          <w:sz w:val="22"/>
          <w:szCs w:val="22"/>
        </w:rPr>
        <w:t xml:space="preserve">Competing signal interference: at Ring 3 and beyond, the event signal is typically subsumed by unrelated market noise. A fractional change in demand for copper used in cooling fans cannot be reliably attributed to an Intel chip delay versus dozens of other simultaneous market forces.</w:t>
      </w:r>
    </w:p>
    <w:p>
      <w:pPr>
        <w:pStyle w:val="ListParagraph"/>
        <w:numPr>
          <w:ilvl w:val="0"/>
          <w:numId w:val="2"/>
        </w:numPr>
        <w:spacing w:after="60" w:before="60" w:line="300" w:lineRule="auto"/>
      </w:pPr>
      <w:r>
        <w:rPr>
          <w:rFonts w:ascii="Arial" w:cs="Arial" w:eastAsia="Arial" w:hAnsi="Arial"/>
          <w:color w:val="2D2D2D"/>
          <w:sz w:val="22"/>
          <w:szCs w:val="22"/>
        </w:rPr>
        <w:t xml:space="preserve">Propagation topology mismatch: a fourth mechanism identified through testing. When an event is systemic rather than company-level, the attenuation parameters calibrated for corporate events produce wrong predictions. The Iran war removed 20% of global oil supply simultaneously. Applying the same alpha values used for Intel's competitive position to this event dramatically underestimates all downstream effects. The pipeline needs to classify event topology at onset and select the right attenuation regime.</w:t>
      </w:r>
    </w:p>
    <w:p>
      <w:pPr>
        <w:pStyle w:val="Heading2"/>
        <w:spacing w:after="80" w:before="240"/>
      </w:pPr>
      <w:r>
        <w:rPr>
          <w:rFonts w:ascii="Arial" w:cs="Arial" w:eastAsia="Arial" w:hAnsi="Arial"/>
          <w:b/>
          <w:bCs/>
          <w:color w:val="2D2D2D"/>
          <w:sz w:val="24"/>
          <w:szCs w:val="24"/>
        </w:rPr>
        <w:t xml:space="preserve">2.3 Inter-Entity Relationship Taxonomy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800"/>
        <w:gridCol w:w="2360"/>
      </w:tblGrid>
      <w:tr>
        <w:trPr>
          <w:tblHeader/>
        </w:trPr>
        <w:tc>
          <w:tcPr>
            <w:tcW w:type="dxa" w:w="15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Relationship Type</w:t>
            </w:r>
          </w:p>
        </w:tc>
        <w:tc>
          <w:tcPr>
            <w:tcW w:type="dxa" w:w="2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Description</w:t>
            </w:r>
          </w:p>
        </w:tc>
        <w:tc>
          <w:tcPr>
            <w:tcW w:type="dxa" w:w="15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Typical Direction</w:t>
            </w:r>
          </w:p>
        </w:tc>
        <w:tc>
          <w:tcPr>
            <w:tcW w:type="dxa" w:w="18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Example</w:t>
            </w:r>
          </w:p>
        </w:tc>
        <w:tc>
          <w:tcPr>
            <w:tcW w:type="dxa" w:w="23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Prototype Validation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Competitor (Horizontal)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Companies selling substitutable products in the same market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Inverse: gains for A typically pressure 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Apple M3 announcement creates competitive pressure on Intel laptop CPU division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Intel -0.266, Qualcomm -0.294 from Apple M3</w:t>
            </w:r>
          </w:p>
        </w:tc>
      </w:tr>
      <w:tr>
        <w:tc>
          <w:tcPr>
            <w:tcW w:type="dxa" w:w="1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Supplier (Upstream)</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Companies providing components, materials, or manufacturing</w:t>
            </w:r>
          </w:p>
        </w:tc>
        <w:tc>
          <w:tcPr>
            <w:tcW w:type="dxa" w:w="1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Aligned: increased demand for A benefits its suppliers</w:t>
            </w:r>
          </w:p>
        </w:tc>
        <w:tc>
          <w:tcPr>
            <w:tcW w:type="dxa" w:w="1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Apple M3 expansion generates positive demand signal for TSMC manufacturing</w:t>
            </w:r>
          </w:p>
        </w:tc>
        <w:tc>
          <w:tcPr>
            <w:tcW w:type="dxa" w:w="23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TSMC +0.175 from Apple M3</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Customer (Downstream)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Companies depending on A's products as inputs to their business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Aligned: better or cheaper products from A improve customer economics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Intel's decline reduces order flow for cloud infrastructure providers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AWS -0.263, Azure -0.216, GCP -0.132 from Intel's position</w:t>
            </w:r>
          </w:p>
        </w:tc>
      </w:tr>
      <w:tr>
        <w:tc>
          <w:tcPr>
            <w:tcW w:type="dxa" w:w="1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IP Licensor</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Companies earning royalties on technology standards used by A</w:t>
            </w:r>
          </w:p>
        </w:tc>
        <w:tc>
          <w:tcPr>
            <w:tcW w:type="dxa" w:w="1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Complex positive: breakthrough in A validates the standard</w:t>
            </w:r>
          </w:p>
        </w:tc>
        <w:tc>
          <w:tcPr>
            <w:tcW w:type="dxa" w:w="1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Apple M3 ARM-based architecture reinforces ARM Holdings licensing revenues</w:t>
            </w:r>
          </w:p>
        </w:tc>
        <w:tc>
          <w:tcPr>
            <w:tcW w:type="dxa" w:w="23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ARM +0.098 from Apple M3</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Geographic Dependency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Entities whose supply chains physically pass through a disrupted chokepoint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Negative: disruption cuts supply or raises costs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Strait of Hormuz closure affects all Gulf energy exporters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Iran war test correctly extracted this relationship type</w:t>
            </w:r>
          </w:p>
        </w:tc>
      </w:tr>
      <w:tr>
        <w:tc>
          <w:tcPr>
            <w:tcW w:type="dxa" w:w="1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Feedstock Cost Transmission</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Entities whose production input costs are directly tied to a disrupted commodity</w:t>
            </w:r>
          </w:p>
        </w:tc>
        <w:tc>
          <w:tcPr>
            <w:tcW w:type="dxa" w:w="1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Inverse to commodity surge</w:t>
            </w:r>
          </w:p>
        </w:tc>
        <w:tc>
          <w:tcPr>
            <w:tcW w:type="dxa" w:w="1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Natural gas price spike directly increases nitrogen fertilizer production cost</w:t>
            </w:r>
          </w:p>
        </w:tc>
        <w:tc>
          <w:tcPr>
            <w:tcW w:type="dxa" w:w="23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Geopolitical chain: LNG to CF Industries/Nutrien/Mosaic</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Substitute Supplier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Entities that gain demand when the primary supplier is disrupted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Positive: beneficiary of disruption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US LNG exporters gain when Middle East LNG is disrupted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Gap identified: current pipeline finds victims but not beneficiaries</w:t>
            </w:r>
          </w:p>
        </w:tc>
      </w:tr>
    </w:tbl>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3: Motivation and Economic Significance</w:t>
      </w:r>
    </w:p>
    <w:p>
      <w:pPr>
        <w:pStyle w:val="Heading2"/>
        <w:spacing w:after="80" w:before="240"/>
      </w:pPr>
      <w:r>
        <w:rPr>
          <w:rFonts w:ascii="Arial" w:cs="Arial" w:eastAsia="Arial" w:hAnsi="Arial"/>
          <w:b/>
          <w:bCs/>
          <w:color w:val="2D2D2D"/>
          <w:sz w:val="24"/>
          <w:szCs w:val="24"/>
        </w:rPr>
        <w:t xml:space="preserve">3.1 The Capacity Problem</w:t>
      </w:r>
    </w:p>
    <w:p>
      <w:pPr>
        <w:spacing w:after="120" w:before="60" w:line="320" w:lineRule="auto"/>
        <w:jc w:val="both"/>
      </w:pPr>
      <w:r>
        <w:rPr>
          <w:rFonts w:ascii="Arial" w:cs="Arial" w:eastAsia="Arial" w:hAnsi="Arial"/>
          <w:color w:val="2D2D2D"/>
          <w:sz w:val="22"/>
          <w:szCs w:val="22"/>
        </w:rPr>
        <w:t xml:space="preserve">On any given trading day, global markets generate between 50,000 and 100,000 financially relevant news items. Each one potentially triggers ripple effects across multiple interconnected entities. Top-tier investment banks rely on hundreds of equity analysts who typically cover 10 to 20 stocks each, siloed within a single industry sector.</w:t>
      </w:r>
    </w:p>
    <w:p>
      <w:pPr>
        <w:spacing w:after="120" w:before="60" w:line="320" w:lineRule="auto"/>
        <w:jc w:val="both"/>
      </w:pPr>
      <w:r>
        <w:rPr>
          <w:rFonts w:ascii="Arial" w:cs="Arial" w:eastAsia="Arial" w:hAnsi="Arial"/>
          <w:color w:val="2D2D2D"/>
          <w:sz w:val="22"/>
          <w:szCs w:val="22"/>
        </w:rPr>
        <w:t xml:space="preserve">When a cross-sector event occurs, such as a semiconductor breakthrough or a global logistics disruption, those analysts have to manually think through implications beyond their normal coverage. That process takes hours to days. By the time written research notes reach clients, algorithmic traders have already priced in the obvious effects. The window for actionable insight has closed.</w:t>
      </w:r>
    </w:p>
    <w:p>
      <w:pPr>
        <w:spacing w:after="120" w:before="60" w:line="320" w:lineRule="auto"/>
        <w:jc w:val="both"/>
      </w:pPr>
      <w:r>
        <w:rPr>
          <w:rFonts w:ascii="Arial" w:cs="Arial" w:eastAsia="Arial" w:hAnsi="Arial"/>
          <w:color w:val="2D2D2D"/>
          <w:sz w:val="22"/>
          <w:szCs w:val="22"/>
        </w:rPr>
        <w:t xml:space="preserve">This is not an analyst quality problem. It is a bandwidth problem. The volume of events has grown faster than any human organization can keep up with. AFRED is not built to replace analyst judgment. It is built to automate the graph traversal part so analysts can focus on the interpretive judgment part.</w:t>
      </w:r>
    </w:p>
    <w:p>
      <w:pPr>
        <w:pStyle w:val="Heading2"/>
        <w:spacing w:after="80" w:before="240"/>
      </w:pPr>
      <w:r>
        <w:rPr>
          <w:rFonts w:ascii="Arial" w:cs="Arial" w:eastAsia="Arial" w:hAnsi="Arial"/>
          <w:b/>
          <w:bCs/>
          <w:color w:val="2D2D2D"/>
          <w:sz w:val="24"/>
          <w:szCs w:val="24"/>
        </w:rPr>
        <w:t xml:space="preserve">3.2 The Economic Value Argument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Metric</w:t>
            </w:r>
          </w:p>
        </w:tc>
        <w:tc>
          <w:tcPr>
            <w:tcW w:type="dxa" w:w="28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Current Analyst Workflow</w:t>
            </w:r>
          </w:p>
        </w:tc>
        <w:tc>
          <w:tcPr>
            <w:tcW w:type="dxa" w:w="2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AFRED Estimated</w:t>
            </w:r>
          </w:p>
        </w:tc>
        <w:tc>
          <w:tcPr>
            <w:tcW w:type="dxa" w:w="21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Improvement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Time to Ring 1 identification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2 to 4 hours (experienced analyst)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Under 30 seconds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240 to 480x faster</w:t>
            </w:r>
          </w:p>
        </w:tc>
      </w:tr>
      <w:tr>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Entities identified per event</w:t>
            </w:r>
          </w:p>
        </w:tc>
        <w:tc>
          <w:tcPr>
            <w:tcW w:type="dxa" w:w="2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5 to 8 (bounded by analyst time and sector knowledge)</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15 to 25 with confidence scores</w:t>
            </w:r>
          </w:p>
        </w:tc>
        <w:tc>
          <w:tcPr>
            <w:tcW w:type="dxa" w:w="21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2 to 3x more complete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Cross-sector blind spots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Analysts restricted to single sectors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No sector boundary constraints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Eliminates structural coverage gaps</w:t>
            </w:r>
          </w:p>
        </w:tc>
      </w:tr>
      <w:tr>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Event throughput</w:t>
            </w:r>
          </w:p>
        </w:tc>
        <w:tc>
          <w:tcPr>
            <w:tcW w:type="dxa" w:w="2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Roughly 20 significant events per analyst per day</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Thousands processed in parallel</w:t>
            </w:r>
          </w:p>
        </w:tc>
        <w:tc>
          <w:tcPr>
            <w:tcW w:type="dxa" w:w="21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100 to 500x higher throughput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Analysis consistency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Variable based on analyst experience and cognitive load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Same reasoning applied uniformly across all events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Removes human cognitive variance</w:t>
            </w:r>
          </w:p>
        </w:tc>
      </w:tr>
      <w:tr>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Cost per event</w:t>
            </w:r>
          </w:p>
        </w:tc>
        <w:tc>
          <w:tcPr>
            <w:tcW w:type="dxa" w:w="2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$500 to $2,000 in fully loaded analyst time</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$0.50 to $5.00 in API inference costs</w:t>
            </w:r>
          </w:p>
        </w:tc>
        <w:tc>
          <w:tcPr>
            <w:tcW w:type="dxa" w:w="21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100 to 400x cost reduction</w:t>
            </w:r>
          </w:p>
        </w:tc>
      </w:tr>
    </w:tbl>
    <w:p>
      <w:pPr>
        <w:spacing w:after="120" w:before="120"/>
      </w:pPr>
    </w:p>
    <w:p>
      <w:pPr>
        <w:pStyle w:val="Heading2"/>
        <w:spacing w:after="80" w:before="240"/>
      </w:pPr>
      <w:r>
        <w:rPr>
          <w:rFonts w:ascii="Arial" w:cs="Arial" w:eastAsia="Arial" w:hAnsi="Arial"/>
          <w:b/>
          <w:bCs/>
          <w:color w:val="2D2D2D"/>
          <w:sz w:val="24"/>
          <w:szCs w:val="24"/>
        </w:rPr>
        <w:t xml:space="preserve">3.3 Why the Macro Layer Matters</w:t>
      </w:r>
    </w:p>
    <w:p>
      <w:pPr>
        <w:spacing w:after="120" w:before="60" w:line="320" w:lineRule="auto"/>
        <w:jc w:val="both"/>
      </w:pPr>
      <w:r>
        <w:rPr>
          <w:rFonts w:ascii="Arial" w:cs="Arial" w:eastAsia="Arial" w:hAnsi="Arial"/>
          <w:color w:val="2D2D2D"/>
          <w:sz w:val="22"/>
          <w:szCs w:val="22"/>
        </w:rPr>
        <w:t xml:space="preserve">When the Strait of Hormuz closed in March 2026, economic analyst Steve Ratner traced the ripple chain live on television in about five minutes. He went from oil prices through gasoline, through fertilizer and food prices, through diesel and trucking costs, through inflation forecast revisions, through Federal Reserve rate decisions, through mortgage rates, and ultimately to household purchasing power. He also identified Russia as receiving an estimated $17 billion per month in additional revenue from the oil price windfall.</w:t>
      </w:r>
    </w:p>
    <w:p>
      <w:pPr>
        <w:spacing w:after="120" w:before="60" w:line="320" w:lineRule="auto"/>
        <w:jc w:val="both"/>
      </w:pPr>
      <w:r>
        <w:rPr>
          <w:rFonts w:ascii="Arial" w:cs="Arial" w:eastAsia="Arial" w:hAnsi="Arial"/>
          <w:color w:val="2D2D2D"/>
          <w:sz w:val="22"/>
          <w:szCs w:val="22"/>
        </w:rPr>
        <w:t xml:space="preserve">That analysis covered eleven causal hops. It included both corporate entities and macroeconomic indicators. It covered both victims and beneficiaries. It connected a military strike in the Persian Gulf to the affordability of a home mortgage in Ohio. That is what a complete ripple analysis looks like. AFRED's architecture is designed to produce something equivalent to that automatically, and the fact that a knowledgeable human can do it manually in five minutes is evidence that the causal chain is real and traceable, not speculative.</w:t>
      </w:r>
    </w:p>
    <w:p>
      <w:pPr>
        <w:spacing w:after="120" w:before="60" w:line="320" w:lineRule="auto"/>
        <w:jc w:val="both"/>
      </w:pPr>
      <w:r>
        <w:rPr>
          <w:rFonts w:ascii="Arial" w:cs="Arial" w:eastAsia="Arial" w:hAnsi="Arial"/>
          <w:color w:val="2D2D2D"/>
          <w:sz w:val="22"/>
          <w:szCs w:val="22"/>
        </w:rPr>
        <w:t xml:space="preserve">The institutional audience for AFRED is not limited to hedge funds. Central banks modeling inflation risk, government finance ministries assessing policy interventions, and institutions like the IMF or the Financial Stability Board studying systemic contagion are all potential users of a system that can trace geopolitical events through to consumer welfare outcomes. The FSB's 2024 report on AI in finance explicitly called for computational tools capable of modeling inter-entity dependencies and contagion effects across the financial system. That is a precise description of what AFRED aims to do.</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4: Literature Review</w:t>
      </w:r>
    </w:p>
    <w:p>
      <w:pPr>
        <w:spacing w:after="120" w:before="60" w:line="320" w:lineRule="auto"/>
        <w:jc w:val="both"/>
      </w:pPr>
      <w:r>
        <w:rPr>
          <w:rFonts w:ascii="Arial" w:cs="Arial" w:eastAsia="Arial" w:hAnsi="Arial"/>
          <w:color w:val="2D2D2D"/>
          <w:sz w:val="22"/>
          <w:szCs w:val="22"/>
        </w:rPr>
        <w:t xml:space="preserve">This section surveys the research streams most directly relevant to AFRED. The goal is not an exhaustive survey of AI in finance but a targeted analysis of the work closest to this problem, what each contributes, and where it falls short.</w:t>
      </w:r>
    </w:p>
    <w:p>
      <w:pPr>
        <w:pStyle w:val="Heading2"/>
        <w:spacing w:after="80" w:before="240"/>
      </w:pPr>
      <w:r>
        <w:rPr>
          <w:rFonts w:ascii="Arial" w:cs="Arial" w:eastAsia="Arial" w:hAnsi="Arial"/>
          <w:b/>
          <w:bCs/>
          <w:color w:val="2D2D2D"/>
          <w:sz w:val="24"/>
          <w:szCs w:val="24"/>
        </w:rPr>
        <w:t xml:space="preserve">4.1 Multi-Agent LLM Trading Systems</w:t>
      </w:r>
    </w:p>
    <w:p>
      <w:pPr>
        <w:spacing w:after="120" w:before="60" w:line="320" w:lineRule="auto"/>
        <w:jc w:val="both"/>
      </w:pPr>
      <w:r>
        <w:rPr>
          <w:rFonts w:ascii="Arial" w:cs="Arial" w:eastAsia="Arial" w:hAnsi="Arial"/>
          <w:color w:val="2D2D2D"/>
          <w:sz w:val="22"/>
          <w:szCs w:val="22"/>
        </w:rPr>
        <w:t xml:space="preserve">Recent work in computational finance has converged on multi-agent architectures for distributing analytical workloads. FinCon (Yu et al., 2024) uses seven specialized agents with Conceptual Verbal Reinforcement to iteratively refine trading beliefs. TradingAgents (Xiao et al., 2024) simulates an institutional environment with competing bullish and bearish research agents mediated by a risk management node. MarketSenseAI 2.0 (Fatouros et al., 2025) uses retrieval-augmented generation in a five-agent system and has demonstrated performance above standard market indices when analyzing constituents of the S&amp;P 100 and 500.</w:t>
      </w:r>
    </w:p>
    <w:p>
      <w:pPr>
        <w:spacing w:after="120" w:before="60" w:line="320" w:lineRule="auto"/>
        <w:jc w:val="both"/>
      </w:pPr>
      <w:r>
        <w:rPr>
          <w:rFonts w:ascii="Arial" w:cs="Arial" w:eastAsia="Arial" w:hAnsi="Arial"/>
          <w:color w:val="2D2D2D"/>
          <w:sz w:val="22"/>
          <w:szCs w:val="22"/>
        </w:rPr>
        <w:t xml:space="preserve">What all of these share is that they analyze entities the user specifies. They are depth tools, not breadth tools. The question of which entities to include in the first place is not addressed by any of them. From the literature reviewed in this space, that gap has not been filled.</w:t>
      </w:r>
    </w:p>
    <w:p>
      <w:pPr>
        <w:pStyle w:val="Heading2"/>
        <w:spacing w:after="80" w:before="240"/>
      </w:pPr>
      <w:r>
        <w:rPr>
          <w:rFonts w:ascii="Arial" w:cs="Arial" w:eastAsia="Arial" w:hAnsi="Arial"/>
          <w:b/>
          <w:bCs/>
          <w:color w:val="2D2D2D"/>
          <w:sz w:val="24"/>
          <w:szCs w:val="24"/>
        </w:rPr>
        <w:t xml:space="preserve">4.2 Knowledge Graphs for Financial Relationships</w:t>
      </w:r>
    </w:p>
    <w:p>
      <w:pPr>
        <w:spacing w:after="120" w:before="60" w:line="320" w:lineRule="auto"/>
        <w:jc w:val="both"/>
      </w:pPr>
      <w:r>
        <w:rPr>
          <w:rFonts w:ascii="Arial" w:cs="Arial" w:eastAsia="Arial" w:hAnsi="Arial"/>
          <w:color w:val="2D2D2D"/>
          <w:sz w:val="22"/>
          <w:szCs w:val="22"/>
        </w:rPr>
        <w:t xml:space="preserve">Knowledge graph approaches represent the most structurally relevant prior work for AFRED's entity discovery requirement. A 2025 paper (arXiv:2601.11528) built a graph database of company information, financial statements, and sector classifications, then deployed LLM-driven multi-hop reasoning to analyze competitive dynamics. This is the closest antecedent to AFRED's graph traversal component. Separately, work on supply chain knowledge graph construction (arXiv:2408.07705, 2024) demonstrated that zero-shot LLM prompting can extract multi-tier supplier dependencies from public data without task-specific training.</w:t>
      </w:r>
    </w:p>
    <w:p>
      <w:pPr>
        <w:spacing w:after="120" w:before="60" w:line="320" w:lineRule="auto"/>
        <w:jc w:val="both"/>
      </w:pPr>
      <w:r>
        <w:rPr>
          <w:rFonts w:ascii="Arial" w:cs="Arial" w:eastAsia="Arial" w:hAnsi="Arial"/>
          <w:color w:val="2D2D2D"/>
          <w:sz w:val="22"/>
          <w:szCs w:val="22"/>
        </w:rPr>
        <w:t xml:space="preserve">The limitation across this literature, as best as can be gathered from the papers reviewed, is that all of these graphs are static. They require manual population in advance. AFRED needs something dynamic enough to handle novel events and new corporate structures as they emerge. For geopolitical events specifically, the challenge is deeper: the relevant graph schema (geographic chokepoints, sovereign actors, feedstock dependencies) is not available in SEC filings at all, which is where most KG extraction pipelines draw from.</w:t>
      </w:r>
    </w:p>
    <w:p>
      <w:pPr>
        <w:pStyle w:val="Heading2"/>
        <w:spacing w:after="80" w:before="240"/>
      </w:pPr>
      <w:r>
        <w:rPr>
          <w:rFonts w:ascii="Arial" w:cs="Arial" w:eastAsia="Arial" w:hAnsi="Arial"/>
          <w:b/>
          <w:bCs/>
          <w:color w:val="2D2D2D"/>
          <w:sz w:val="24"/>
          <w:szCs w:val="24"/>
        </w:rPr>
        <w:t xml:space="preserve">4.3 FinRipple</w:t>
      </w:r>
    </w:p>
    <w:p>
      <w:pPr>
        <w:spacing w:after="120" w:before="60" w:line="320" w:lineRule="auto"/>
        <w:jc w:val="both"/>
      </w:pPr>
      <w:r>
        <w:rPr>
          <w:rFonts w:ascii="Arial" w:cs="Arial" w:eastAsia="Arial" w:hAnsi="Arial"/>
          <w:color w:val="2D2D2D"/>
          <w:sz w:val="22"/>
          <w:szCs w:val="22"/>
        </w:rPr>
        <w:t xml:space="preserve">FinRipple (Xu et al., ACL 2025) is the most proximate prior work. It constructs a time-varying financial knowledge graph and applies theory-guided reinforcement learning to predict how market events propagate across entities in that graph. The formalization of event-driven ripple prediction in FinRipple directly influenced AFRED's architecture.</w:t>
      </w:r>
    </w:p>
    <w:p>
      <w:pPr>
        <w:spacing w:after="120" w:before="60" w:line="320" w:lineRule="auto"/>
        <w:jc w:val="both"/>
      </w:pPr>
      <w:r>
        <w:rPr>
          <w:rFonts w:ascii="Arial" w:cs="Arial" w:eastAsia="Arial" w:hAnsi="Arial"/>
          <w:color w:val="2D2D2D"/>
          <w:sz w:val="22"/>
          <w:szCs w:val="22"/>
        </w:rPr>
        <w:t xml:space="preserve">The distinction is at the starting point. FinRipple takes a known entity set and predicts impact severity within it. AFRED is trying to produce that entity set in the first place, including entities that may not exist in any pre-built graph because they have recently formed relationships with the source company, or because the relationship is implicit in market structure rather than explicitly documented anywhere.</w:t>
      </w:r>
    </w:p>
    <w:p>
      <w:pPr>
        <w:pStyle w:val="Heading2"/>
        <w:spacing w:after="80" w:before="240"/>
      </w:pPr>
      <w:r>
        <w:rPr>
          <w:rFonts w:ascii="Arial" w:cs="Arial" w:eastAsia="Arial" w:hAnsi="Arial"/>
          <w:b/>
          <w:bCs/>
          <w:color w:val="2D2D2D"/>
          <w:sz w:val="24"/>
          <w:szCs w:val="24"/>
        </w:rPr>
        <w:t xml:space="preserve">4.4 Cross-Company Spillover Research</w:t>
      </w:r>
    </w:p>
    <w:p>
      <w:pPr>
        <w:spacing w:after="120" w:before="60" w:line="320" w:lineRule="auto"/>
        <w:jc w:val="both"/>
      </w:pPr>
      <w:r>
        <w:rPr>
          <w:rFonts w:ascii="Arial" w:cs="Arial" w:eastAsia="Arial" w:hAnsi="Arial"/>
          <w:color w:val="2D2D2D"/>
          <w:sz w:val="22"/>
          <w:szCs w:val="22"/>
        </w:rPr>
        <w:t xml:space="preserve">Traditional empirical finance has documented the statistical reality of cross-company spillover effects extensively. Poli and Caporin (Heliyon, 2024) analyzed high-frequency data across 220 Russell 3000 constituents and found that firm-specific news events significantly amplify cross-company price jump co-occurrences. This provides important grounding: the market ripple effect that AFRED is trying to model is empirically real, not just theoretically plausible. The abnormal return patterns that would serve as ground truth for evaluating AFRED are measurable in historical data.</w:t>
      </w:r>
    </w:p>
    <w:p>
      <w:pPr>
        <w:pStyle w:val="Heading2"/>
        <w:spacing w:after="80" w:before="240"/>
      </w:pPr>
      <w:r>
        <w:rPr>
          <w:rFonts w:ascii="Arial" w:cs="Arial" w:eastAsia="Arial" w:hAnsi="Arial"/>
          <w:b/>
          <w:bCs/>
          <w:color w:val="2D2D2D"/>
          <w:sz w:val="24"/>
          <w:szCs w:val="24"/>
        </w:rPr>
        <w:t xml:space="preserve">4.5 Oil Price Macroeconomic Transmission Literature</w:t>
      </w:r>
    </w:p>
    <w:p>
      <w:pPr>
        <w:spacing w:after="120" w:before="60" w:line="320" w:lineRule="auto"/>
        <w:jc w:val="both"/>
      </w:pPr>
      <w:r>
        <w:rPr>
          <w:rFonts w:ascii="Arial" w:cs="Arial" w:eastAsia="Arial" w:hAnsi="Arial"/>
          <w:color w:val="2D2D2D"/>
          <w:sz w:val="22"/>
          <w:szCs w:val="22"/>
        </w:rPr>
        <w:t xml:space="preserve">A substantial body of work at the Federal Reserve and in academic macroeconomics documents how oil price shocks transmit to inflation and monetary policy. Blanchard and Gali (2007) analyzed six advanced economies and found that oil shocks had larger macroeconomic effects before the mid-1980s than after, establishing the regime-dependence of transmission. Kilian and Zhou (2022) quantified gasoline price pass-through to headline inflation across different macroeconomic regimes. Presno and Prestipino (Federal Reserve, 2024) used a DSGE model of the global economy to estimate that the Russia-Ukraine oil shocks added roughly one percentage point to US headline inflation on impact. Bernanke, Gertler, and Watson (1997) made what is arguably the most important single finding in this literature: between 30 and 50 percent of the negative output impact of oil price shocks comes from the monetary tightening that follows, not from the oil shock itself.</w:t>
      </w:r>
    </w:p>
    <w:p>
      <w:pPr>
        <w:spacing w:after="120" w:before="60" w:line="320" w:lineRule="auto"/>
        <w:jc w:val="both"/>
      </w:pPr>
      <w:r>
        <w:rPr>
          <w:rFonts w:ascii="Arial" w:cs="Arial" w:eastAsia="Arial" w:hAnsi="Arial"/>
          <w:color w:val="2D2D2D"/>
          <w:sz w:val="22"/>
          <w:szCs w:val="22"/>
        </w:rPr>
        <w:t xml:space="preserve">What is not present in this literature is a system that integrates these macroeconomic transmission channels with corporate-level ripple effect analysis in a unified real-time framework. These bodies of research appear to exist independently of each other. The macro models quantify aggregate effects without mapping them to specific companies. The corporate event study literature maps effects to companies without modeling the macro consequences. Connecting those two is part of what AFRED's extended architecture aims to do.</w:t>
      </w:r>
    </w:p>
    <w:p>
      <w:pPr>
        <w:pStyle w:val="Heading2"/>
        <w:spacing w:after="80" w:before="240"/>
      </w:pPr>
      <w:r>
        <w:rPr>
          <w:rFonts w:ascii="Arial" w:cs="Arial" w:eastAsia="Arial" w:hAnsi="Arial"/>
          <w:b/>
          <w:bCs/>
          <w:color w:val="2D2D2D"/>
          <w:sz w:val="24"/>
          <w:szCs w:val="24"/>
        </w:rPr>
        <w:t xml:space="preserve">4.6 Geopolitical Risk Quantification</w:t>
      </w:r>
    </w:p>
    <w:p>
      <w:pPr>
        <w:spacing w:after="120" w:before="60" w:line="320" w:lineRule="auto"/>
        <w:jc w:val="both"/>
      </w:pPr>
      <w:r>
        <w:rPr>
          <w:rFonts w:ascii="Arial" w:cs="Arial" w:eastAsia="Arial" w:hAnsi="Arial"/>
          <w:color w:val="2D2D2D"/>
          <w:sz w:val="22"/>
          <w:szCs w:val="22"/>
        </w:rPr>
        <w:t xml:space="preserve">Caldara and Iacoviello (American Economic Review, 2022) developed the Geopolitical Risk Index using text mining on newspaper archives going back to 1900. When GPR spikes, oil prices tend to follow within days. This is the most relevant prior quantitative work on geopolitical event prediction.</w:t>
      </w:r>
    </w:p>
    <w:p>
      <w:pPr>
        <w:spacing w:after="120" w:before="60" w:line="320" w:lineRule="auto"/>
        <w:jc w:val="both"/>
      </w:pPr>
      <w:r>
        <w:rPr>
          <w:rFonts w:ascii="Arial" w:cs="Arial" w:eastAsia="Arial" w:hAnsi="Arial"/>
          <w:color w:val="2D2D2D"/>
          <w:sz w:val="22"/>
          <w:szCs w:val="22"/>
        </w:rPr>
        <w:t xml:space="preserve">GPR predicts aggregate oil price direction. It does not predict company-level abnormal returns, identify which sectors will be affected beyond energy, quantify confidence by causal ring depth, or model the temporal lag structure between causal hops. The research direction described in Section 9 of this document extends GPR's insight in those directions, with the caveat that there may be more recent work in this area not yet encountered.</w:t>
      </w:r>
    </w:p>
    <w:p>
      <w:pPr>
        <w:pStyle w:val="Heading2"/>
        <w:spacing w:after="80" w:before="240"/>
      </w:pPr>
      <w:r>
        <w:rPr>
          <w:rFonts w:ascii="Arial" w:cs="Arial" w:eastAsia="Arial" w:hAnsi="Arial"/>
          <w:b/>
          <w:bCs/>
          <w:color w:val="2D2D2D"/>
          <w:sz w:val="24"/>
          <w:szCs w:val="24"/>
        </w:rPr>
        <w:t xml:space="preserve">4.7 Research Gap Summary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Gap</w:t>
            </w:r>
          </w:p>
        </w:tc>
        <w:tc>
          <w:tcPr>
            <w:tcW w:type="dxa" w:w="29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Adjacent Literature</w:t>
            </w:r>
          </w:p>
        </w:tc>
        <w:tc>
          <w:tcPr>
            <w:tcW w:type="dxa" w:w="40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What Is Missing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Autonomous entity discovery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FinRipple, multi-agent systems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All existing systems take entity lists as input. Entity discovery as the primary output is not addressed in the papers reviewed.</w:t>
            </w:r>
          </w:p>
        </w:tc>
      </w:tr>
      <w:tr>
        <w:tc>
          <w:tcPr>
            <w:tcW w:type="dxa" w:w="24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Dynamic KG construction for novel events</w:t>
            </w:r>
          </w:p>
        </w:tc>
        <w:tc>
          <w:tcPr>
            <w:tcW w:type="dxa" w:w="29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Supply chain KG papers</w:t>
            </w:r>
          </w:p>
        </w:tc>
        <w:tc>
          <w:tcPr>
            <w:tcW w:type="dxa" w:w="4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Existing approaches extract from structured disclosures. Geopolitical events require graph schemas not available in any financial filing.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Geopolitical to corporate translation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GPR index, Caldara and Iacoviello 2022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GPR predicts aggregate oil price. Company-level effects through the full causal chain are not modeled in the literature reviewed.</w:t>
            </w:r>
          </w:p>
        </w:tc>
      </w:tr>
      <w:tr>
        <w:tc>
          <w:tcPr>
            <w:tcW w:type="dxa" w:w="24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Macroeconomic and consumer transmission integrated with corporate analysis</w:t>
            </w:r>
          </w:p>
        </w:tc>
        <w:tc>
          <w:tcPr>
            <w:tcW w:type="dxa" w:w="29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Fed DSGE models, Kilian and Zhou</w:t>
            </w:r>
          </w:p>
        </w:tc>
        <w:tc>
          <w:tcPr>
            <w:tcW w:type="dxa" w:w="4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Macro models and corporate event studies exist independently. A unified framework connecting them does not appear to exist in the literature found.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Confidence decay quantification by ring depth</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Attenuation discussed qualitatively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Quantifying how much prediction confidence degrades per causal hop, as a measurable and calibratable property, does not appear to be formalized anywhere in the papers reviewed.</w:t>
            </w:r>
          </w:p>
        </w:tc>
      </w:tr>
    </w:tbl>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5: LLM Capability Assessment</w:t>
      </w:r>
    </w:p>
    <w:p>
      <w:pPr>
        <w:spacing w:after="120" w:before="60" w:line="320" w:lineRule="auto"/>
        <w:jc w:val="both"/>
      </w:pPr>
      <w:r>
        <w:rPr>
          <w:rFonts w:ascii="Arial" w:cs="Arial" w:eastAsia="Arial" w:hAnsi="Arial"/>
          <w:color w:val="2D2D2D"/>
          <w:sz w:val="22"/>
          <w:szCs w:val="22"/>
        </w:rPr>
        <w:t xml:space="preserve">Building the prototype required making concrete decisions about which tasks to assign to LLMs and which to handle deterministically. Those decisions were informed partly by prior literature and partly by what actually happened during testing. This section documents both.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Capability</w:t>
            </w:r>
          </w:p>
        </w:tc>
        <w:tc>
          <w:tcPr>
            <w:tcW w:type="dxa" w:w="2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Assessment</w:t>
            </w:r>
          </w:p>
        </w:tc>
        <w:tc>
          <w:tcPr>
            <w:tcW w:type="dxa" w:w="49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What Testing Showed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Event classification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Strong for standard financial event types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FinBERT fine-tuned to 96% accuracy on formal financial text. Confidence scores are well-calibrated: TSMC factory fire classified as SUPPLY_DISRUPTION at 0.9897, earnings diagnostic at 0.9656, CEO departure at 0.9793.</w:t>
            </w:r>
          </w:p>
        </w:tc>
      </w:tr>
      <w:tr>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Entity extraction</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Moderate; misses recent or small-cap relationships</w:t>
            </w:r>
          </w:p>
        </w:tc>
        <w:tc>
          <w:tcPr>
            <w:tcW w:type="dxa" w:w="49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LLM correctly identified Apple as source entity and TSMC as fabrication supplier from the M3 event text. For the Iran war, correctly identified the Strait of Hormuz as a geographic chokepoint.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Causal reasoning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Moderate; needs structural constraints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LLM correctly enriched Intel's situation as a market share shift event rather than a generic supply disruption. Cross-domain segment discovery requires an explicit prompt constraint, otherwise it produces only within-domain segments in most runs.</w:t>
            </w:r>
          </w:p>
        </w:tc>
      </w:tr>
      <w:tr>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Entity exhaustiveness</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Weak; high variance across identical prompts</w:t>
            </w:r>
          </w:p>
        </w:tc>
        <w:tc>
          <w:tcPr>
            <w:tcW w:type="dxa" w:w="49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This is the core architectural problem. ASML and ARM Holdings appeared in some runs and not others from identical inputs at temperature 0.1. The deterministic knowledge graph traversal exists precisely because LLM recall alone is too inconsistent for a production discovery system.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Impact quantification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Very weak for LLM alone; resolved by pure math</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All magnitude calculations in the implemented pipeline use a pure math attenuation formula with no LLM calls. TSMC +0.175, Intel -0.266, Qualcomm -0.294, ARM +0.098 computed deterministically.</w:t>
            </w:r>
          </w:p>
        </w:tc>
      </w:tr>
    </w:tbl>
    <w:p>
      <w:pPr>
        <w:spacing w:after="120" w:before="120"/>
      </w:pPr>
    </w:p>
    <w:p>
      <w:pPr>
        <w:pStyle w:val="Heading2"/>
        <w:spacing w:after="80" w:before="240"/>
      </w:pPr>
      <w:r>
        <w:rPr>
          <w:rFonts w:ascii="Arial" w:cs="Arial" w:eastAsia="Arial" w:hAnsi="Arial"/>
          <w:b/>
          <w:bCs/>
          <w:color w:val="2D2D2D"/>
          <w:sz w:val="24"/>
          <w:szCs w:val="24"/>
        </w:rPr>
        <w:t xml:space="preserve">5.1 The Framing Sensitivity Finding</w:t>
      </w:r>
    </w:p>
    <w:p>
      <w:pPr>
        <w:pBdr>
          <w:top w:val="none" w:sz="0" w:space="0" w:color="auto"/>
          <w:left w:val="single" w:color="9D2235" w:sz="12" w:space="6"/>
          <w:bottom w:val="none" w:sz="0" w:space="0" w:color="auto"/>
          <w:right w:val="none" w:sz="0" w:space="0" w:color="auto"/>
        </w:pBdr>
        <w:spacing w:after="80" w:before="80" w:line="320" w:lineRule="auto"/>
        <w:ind w:left="720" w:right="360"/>
        <w:jc w:val="both"/>
      </w:pPr>
      <w:r>
        <w:rPr>
          <w:rFonts w:ascii="Arial" w:cs="Arial" w:eastAsia="Arial" w:hAnsi="Arial"/>
          <w:b/>
          <w:bCs/>
          <w:color w:val="9D2235"/>
          <w:sz w:val="22"/>
          <w:szCs w:val="22"/>
        </w:rPr>
        <w:t xml:space="preserve">Research Finding  </w:t>
      </w:r>
      <w:r>
        <w:rPr>
          <w:rFonts w:ascii="Arial" w:cs="Arial" w:eastAsia="Arial" w:hAnsi="Arial"/>
          <w:color w:val="2D2D2D"/>
          <w:sz w:val="22"/>
          <w:szCs w:val="22"/>
        </w:rPr>
        <w:t xml:space="preserve">The same underlying event produces significantly different FinBERT confidence scores depending on how the headline is written. For the Iran war and Strait of Hormuz closure, three different framings of the same event produced scores of 0.7743 (direct military language), 0.8329 (economic framing), and 0.9299 (explicit geopolitical language). The confidence threshold in the pipeline is set at 0.85, which means the direct military framing would trigger LLM validation while the geopolitical framing would not, even though both describe the same event. This matters operationally because different news sources frame the same event differently. A Bloomberg headline and a Reuters headline about the same conflict may route through different pipeline branches.</w:t>
      </w:r>
    </w:p>
    <w:p>
      <w:pPr>
        <w:pStyle w:val="Heading2"/>
        <w:spacing w:after="80" w:before="240"/>
      </w:pPr>
      <w:r>
        <w:rPr>
          <w:rFonts w:ascii="Arial" w:cs="Arial" w:eastAsia="Arial" w:hAnsi="Arial"/>
          <w:b/>
          <w:bCs/>
          <w:color w:val="2D2D2D"/>
          <w:sz w:val="24"/>
          <w:szCs w:val="24"/>
        </w:rPr>
        <w:t xml:space="preserve">5.2 The Non-Determinism Problem at Low Temperature</w:t>
      </w:r>
    </w:p>
    <w:p>
      <w:pPr>
        <w:pBdr>
          <w:top w:val="none" w:sz="0" w:space="0" w:color="auto"/>
          <w:left w:val="single" w:color="9D2235" w:sz="12" w:space="6"/>
          <w:bottom w:val="none" w:sz="0" w:space="0" w:color="auto"/>
          <w:right w:val="none" w:sz="0" w:space="0" w:color="auto"/>
        </w:pBdr>
        <w:spacing w:after="80" w:before="80" w:line="320" w:lineRule="auto"/>
        <w:ind w:left="720" w:right="360"/>
        <w:jc w:val="both"/>
      </w:pPr>
      <w:r>
        <w:rPr>
          <w:rFonts w:ascii="Arial" w:cs="Arial" w:eastAsia="Arial" w:hAnsi="Arial"/>
          <w:b/>
          <w:bCs/>
          <w:color w:val="9D2235"/>
          <w:sz w:val="22"/>
          <w:szCs w:val="22"/>
        </w:rPr>
        <w:t xml:space="preserve">Research Finding  </w:t>
      </w:r>
      <w:r>
        <w:rPr>
          <w:rFonts w:ascii="Arial" w:cs="Arial" w:eastAsia="Arial" w:hAnsi="Arial"/>
          <w:color w:val="2D2D2D"/>
          <w:sz w:val="22"/>
          <w:szCs w:val="22"/>
        </w:rPr>
        <w:t xml:space="preserve">At temperature 0.1, which is as close to deterministic as a generative model gets without being truly deterministic, the segment discovery prompt still produces different affected segment lists across runs. In testing without the explicit cross-domain constraint, cross-domain segments failed to appear in two out of three runs for the Intel enrichment test. With the constraint, results stabilized. This is why the hybrid architecture, where a deterministic graph handles known relationships and the LLM handles novel connections, is architecturally necessary, not just a design preference.</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6: The Five-Agent Architecture</w:t>
      </w:r>
    </w:p>
    <w:p>
      <w:pPr>
        <w:spacing w:after="120" w:before="60" w:line="320" w:lineRule="auto"/>
        <w:jc w:val="both"/>
      </w:pPr>
      <w:r>
        <w:rPr>
          <w:rFonts w:ascii="Arial" w:cs="Arial" w:eastAsia="Arial" w:hAnsi="Arial"/>
          <w:color w:val="2D2D2D"/>
          <w:sz w:val="22"/>
          <w:szCs w:val="22"/>
        </w:rPr>
        <w:t xml:space="preserve">The AFRED pipeline comprises five specialized agents. Each agent's output feeds into the next stage. A central knowledge graph is shared across all stages. The core design principle is task routing: each computational task goes to the technology best suited to it, not to the most capable technology available.</w:t>
      </w:r>
    </w:p>
    <w:p>
      <w:pPr>
        <w:pStyle w:val="Heading2"/>
        <w:spacing w:after="80" w:before="240"/>
      </w:pPr>
      <w:r>
        <w:rPr>
          <w:rFonts w:ascii="Arial" w:cs="Arial" w:eastAsia="Arial" w:hAnsi="Arial"/>
          <w:b/>
          <w:bCs/>
          <w:color w:val="2D2D2D"/>
          <w:sz w:val="24"/>
          <w:szCs w:val="24"/>
        </w:rPr>
        <w:t xml:space="preserve">6.1 Agent 1: Event Parser and Dynamic State Builder</w:t>
      </w:r>
    </w:p>
    <w:p>
      <w:pPr>
        <w:spacing w:after="120" w:before="60" w:line="320" w:lineRule="auto"/>
        <w:jc w:val="both"/>
      </w:pPr>
      <w:r>
        <w:rPr>
          <w:rFonts w:ascii="Arial" w:cs="Arial" w:eastAsia="Arial" w:hAnsi="Arial"/>
          <w:color w:val="2D2D2D"/>
          <w:sz w:val="22"/>
          <w:szCs w:val="22"/>
        </w:rPr>
        <w:t xml:space="preserve">Agent 1 takes raw event text and produces a structured state representation that drives everything downstream. This is the only stage where all three technologies (fine-tuned model, LLM, and deterministic lookup) run together.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Component</w:t>
            </w:r>
          </w:p>
        </w:tc>
        <w:tc>
          <w:tcPr>
            <w:tcW w:type="dxa" w:w="25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What It Does</w:t>
            </w:r>
          </w:p>
        </w:tc>
        <w:tc>
          <w:tcPr>
            <w:tcW w:type="dxa" w:w="50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Empirical Result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FinBERT classifier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Classifies event into one of 10 financial event types. Returns label and confidence score. Triggers LLM validation when confidence is below 0.85.</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Apple M3: PRODUCT_LAUNCH at 0.61, correctly triggers validation. Iran war: GEOPOLITICAL at 0.8987, above threshold. TSMC factory fire: SUPPLY_DISRUPTION at 0.9897.</w:t>
            </w:r>
          </w:p>
        </w:tc>
      </w:tr>
      <w:tr>
        <w:tc>
          <w:tcPr>
            <w:tcW w:type="dxa" w:w="1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LLM validation layer</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When confidence is below threshold: validates or corrects FinBERT classification, identifies dual-nature events, returns recommended relationship types for KG traversal.</w:t>
            </w:r>
          </w:p>
        </w:tc>
        <w:tc>
          <w:tcPr>
            <w:tcW w:type="dxa" w:w="50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Apple M3 correctly identified as both TECH_BREAKTHROUGH and PRODUCT_LAUNCH. Relationship types drawn from both classifications.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LLM entity extractor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Extracts source entity with ticker, sector, and role. Extracts all sub-entities mentioned in the event text with their roles.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Apple M3: Apple (AAPL, event_initiator), TSMC (TSM, fabrication_supplier). Iran war: US and Israel (event_initiators), Iran (mentioned_entity), Strait of Hormuz (geographic_chokepoint).</w:t>
            </w:r>
          </w:p>
        </w:tc>
      </w:tr>
      <w:tr>
        <w:tc>
          <w:tcPr>
            <w:tcW w:type="dxa" w:w="1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KG lookup</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Searches the knowledge graph registry for the source entity. Returns graph name and node key, or signals that dynamic construction is needed.</w:t>
            </w:r>
          </w:p>
        </w:tc>
        <w:tc>
          <w:tcPr>
            <w:tcW w:type="dxa" w:w="50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Apple M3: semiconductor graph found, Apple node, 5 candidates. Iran war: no graph found, pipeline halts cleanly with structured diagnostic.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Dynamic state builder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Combines all results into a complete s0 state dictionary with no hardcoded values anywhere.</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Both test events produced complete s0 states dynamically. Event type, source entity, active graph, candidates, and sub-entities all derived from the event text.</w:t>
            </w:r>
          </w:p>
        </w:tc>
      </w:tr>
    </w:tbl>
    <w:p>
      <w:pPr>
        <w:spacing w:after="120" w:before="120"/>
      </w:pPr>
    </w:p>
    <w:p>
      <w:pPr>
        <w:pStyle w:val="Heading2"/>
        <w:spacing w:after="80" w:before="240"/>
      </w:pPr>
      <w:r>
        <w:rPr>
          <w:rFonts w:ascii="Arial" w:cs="Arial" w:eastAsia="Arial" w:hAnsi="Arial"/>
          <w:b/>
          <w:bCs/>
          <w:color w:val="2D2D2D"/>
          <w:sz w:val="24"/>
          <w:szCs w:val="24"/>
        </w:rPr>
        <w:t xml:space="preserve">6.2 Agent 2: Graph Discovery Engine</w:t>
      </w:r>
    </w:p>
    <w:p>
      <w:pPr>
        <w:spacing w:after="120" w:before="60" w:line="320" w:lineRule="auto"/>
        <w:jc w:val="both"/>
      </w:pPr>
      <w:r>
        <w:rPr>
          <w:rFonts w:ascii="Arial" w:cs="Arial" w:eastAsia="Arial" w:hAnsi="Arial"/>
          <w:color w:val="2D2D2D"/>
          <w:sz w:val="22"/>
          <w:szCs w:val="22"/>
        </w:rPr>
        <w:t xml:space="preserve">Agent 2 ensures that no historically documented relationship gets missed. It traverses the knowledge graph deterministically along edge types selected based on the event classification. The routing logic is formalized as EVENT_RELATIONSHIP_MAP, which maps each event type to the relationship types that are causally relevant for it.</w:t>
      </w:r>
    </w:p>
    <w:p>
      <w:pPr>
        <w:spacing w:after="120" w:before="60" w:line="320" w:lineRule="auto"/>
        <w:jc w:val="both"/>
      </w:pPr>
      <w:r>
        <w:rPr>
          <w:rFonts w:ascii="Arial" w:cs="Arial" w:eastAsia="Arial" w:hAnsi="Arial"/>
          <w:color w:val="2D2D2D"/>
          <w:sz w:val="22"/>
          <w:szCs w:val="22"/>
        </w:rPr>
        <w:t xml:space="preserve">Geopolitical events route to geographic_dependency, physical_chokepoint, sovereign_resource, and logistics_partner edges. Product launches route to fabrication_supplier, component_supplier, horizontal_competitor, ip_licensor, and shared_resource_competitor edges. Earnings surprises route across all relationship types because they carry broad macroeconomic signal.</w:t>
      </w:r>
    </w:p>
    <w:p>
      <w:pPr>
        <w:spacing w:after="120" w:before="60" w:line="320" w:lineRule="auto"/>
        <w:jc w:val="both"/>
      </w:pPr>
      <w:r>
        <w:rPr>
          <w:rFonts w:ascii="Arial" w:cs="Arial" w:eastAsia="Arial" w:hAnsi="Arial"/>
          <w:color w:val="2D2D2D"/>
          <w:sz w:val="22"/>
          <w:szCs w:val="22"/>
        </w:rPr>
        <w:t xml:space="preserve">One architectural limitation identified in testing: when an event spans two classifications (Apple M3 as both tech_breakthrough and product_launch), the current implementation uses only the primary classification's relationship types. The correct behavior is to union both sets. This is a documented gap in the current build.</w:t>
      </w:r>
    </w:p>
    <w:p>
      <w:pPr>
        <w:pStyle w:val="Heading2"/>
        <w:spacing w:after="80" w:before="240"/>
      </w:pPr>
      <w:r>
        <w:rPr>
          <w:rFonts w:ascii="Arial" w:cs="Arial" w:eastAsia="Arial" w:hAnsi="Arial"/>
          <w:b/>
          <w:bCs/>
          <w:color w:val="2D2D2D"/>
          <w:sz w:val="24"/>
          <w:szCs w:val="24"/>
        </w:rPr>
        <w:t xml:space="preserve">6.3 Agent 3: Causal Reasoning Agent</w:t>
      </w:r>
    </w:p>
    <w:p>
      <w:pPr>
        <w:spacing w:after="120" w:before="60" w:line="320" w:lineRule="auto"/>
        <w:jc w:val="both"/>
      </w:pPr>
      <w:r>
        <w:rPr>
          <w:rFonts w:ascii="Arial" w:cs="Arial" w:eastAsia="Arial" w:hAnsi="Arial"/>
          <w:color w:val="2D2D2D"/>
          <w:sz w:val="22"/>
          <w:szCs w:val="22"/>
        </w:rPr>
        <w:t xml:space="preserve">Agent 3 handles what the deterministic graph cannot: novel entity discovery, causal articulation, and bifurcated effect resolution. It takes the event description alongside the candidate entities from Agent 2 and enriches each Ring 0 entity with a downstream event context.</w:t>
      </w:r>
    </w:p>
    <w:p>
      <w:pPr>
        <w:spacing w:after="120" w:before="60" w:line="320" w:lineRule="auto"/>
        <w:jc w:val="both"/>
      </w:pPr>
      <w:r>
        <w:rPr>
          <w:rFonts w:ascii="Arial" w:cs="Arial" w:eastAsia="Arial" w:hAnsi="Arial"/>
          <w:color w:val="2D2D2D"/>
          <w:sz w:val="22"/>
          <w:szCs w:val="22"/>
        </w:rPr>
        <w:t xml:space="preserve">Three specific prompts were developed and empirically validated. The enrichment prompt generates the specific downstream consequence for each Ring 0 entity. The segment discovery prompt identifies affected market segments in three categories: within-domain, cross-domain (explicitly required), and macro. The segment classification prompt routes each segment to CONTINUE (within current graph), SPAWN (different registered graph), or UNKNOWN (not in any registered graph).</w:t>
      </w:r>
    </w:p>
    <w:p>
      <w:pPr>
        <w:spacing w:after="120" w:before="60" w:line="320" w:lineRule="auto"/>
        <w:jc w:val="both"/>
      </w:pPr>
      <w:r>
        <w:rPr>
          <w:rFonts w:ascii="Arial" w:cs="Arial" w:eastAsia="Arial" w:hAnsi="Arial"/>
          <w:color w:val="2D2D2D"/>
          <w:sz w:val="22"/>
          <w:szCs w:val="22"/>
        </w:rPr>
        <w:t xml:space="preserve">The UNKNOWN classification is preserved in the output rather than dropped. Segments the system cannot route are flagged for human review rather than silently discarded. This is an important design choice for auditability.</w:t>
      </w:r>
    </w:p>
    <w:p>
      <w:pPr>
        <w:pStyle w:val="Heading2"/>
        <w:spacing w:after="80" w:before="240"/>
      </w:pPr>
      <w:r>
        <w:rPr>
          <w:rFonts w:ascii="Arial" w:cs="Arial" w:eastAsia="Arial" w:hAnsi="Arial"/>
          <w:b/>
          <w:bCs/>
          <w:color w:val="2D2D2D"/>
          <w:sz w:val="24"/>
          <w:szCs w:val="24"/>
        </w:rPr>
        <w:t xml:space="preserve">6.4 Agent 4: Quantitative Impact Scoring</w:t>
      </w:r>
    </w:p>
    <w:p>
      <w:pPr>
        <w:spacing w:after="120" w:before="60" w:line="320" w:lineRule="auto"/>
        <w:jc w:val="both"/>
      </w:pPr>
      <w:r>
        <w:rPr>
          <w:rFonts w:ascii="Arial" w:cs="Arial" w:eastAsia="Arial" w:hAnsi="Arial"/>
          <w:color w:val="2D2D2D"/>
          <w:sz w:val="22"/>
          <w:szCs w:val="22"/>
        </w:rPr>
        <w:t xml:space="preserve">Agent 4 converts qualitative causal narratives into numerical magnitude estimates. The current implementation uses a pure-math threshold policy that requires no LLM calls and is fully reproducible.</w:t>
      </w:r>
    </w:p>
    <w:p>
      <w:pPr>
        <w:spacing w:after="60" w:before="100" w:line="300" w:lineRule="auto"/>
        <w:ind w:left="720"/>
      </w:pPr>
      <w:r>
        <w:rPr>
          <w:rFonts w:ascii="Courier New" w:cs="Courier New" w:eastAsia="Courier New" w:hAnsi="Courier New"/>
          <w:color w:val="2D2D2D"/>
          <w:sz w:val="20"/>
          <w:szCs w:val="20"/>
        </w:rPr>
        <w:t xml:space="preserve">magnitude = primary_exposure × event_significance × sign</w:t>
      </w:r>
    </w:p>
    <w:p>
      <w:pPr>
        <w:spacing w:after="120" w:before="60" w:line="320" w:lineRule="auto"/>
        <w:jc w:val="both"/>
      </w:pPr>
      <w:r>
        <w:rPr>
          <w:rFonts w:ascii="Arial" w:cs="Arial" w:eastAsia="Arial" w:hAnsi="Arial"/>
          <w:color w:val="2D2D2D"/>
          <w:sz w:val="22"/>
          <w:szCs w:val="22"/>
        </w:rPr>
        <w:t xml:space="preserve">Ring 1 attenuation alpha values: fabrication_supplier +0.50, horizontal_competitor -0.40 (sign reversal: competitor benefits from parent loss), ip_licensor +0.35, customer_downstream +0.45.</w:t>
      </w:r>
    </w:p>
    <w:p>
      <w:pPr>
        <w:spacing w:after="120" w:before="60" w:line="320" w:lineRule="auto"/>
        <w:jc w:val="both"/>
      </w:pPr>
      <w:r>
        <w:rPr>
          <w:rFonts w:ascii="Arial" w:cs="Arial" w:eastAsia="Arial" w:hAnsi="Arial"/>
          <w:color w:val="2D2D2D"/>
          <w:sz w:val="22"/>
          <w:szCs w:val="22"/>
        </w:rPr>
        <w:t xml:space="preserve">The negative alpha for horizontal_competitor is intentional. When Intel suffers competitive decline, AMD gets a positive seed magnitude because the sign of Intel's negative magnitude multiplied by the negative alpha yields a positive result. This was empirically validated in the Apple M3 run.</w:t>
      </w:r>
    </w:p>
    <w:p>
      <w:pPr>
        <w:spacing w:after="120" w:before="60" w:line="320" w:lineRule="auto"/>
        <w:jc w:val="both"/>
      </w:pPr>
      <w:r>
        <w:rPr>
          <w:rFonts w:ascii="Arial" w:cs="Arial" w:eastAsia="Arial" w:hAnsi="Arial"/>
          <w:color w:val="2D2D2D"/>
          <w:sz w:val="22"/>
          <w:szCs w:val="22"/>
        </w:rPr>
        <w:t xml:space="preserve">The GNN policy that replaces this threshold approach is the core doctoral research contribution. The threshold policy is the proof-of-concept stand-in that validates the pipeline structure while the learned policy is being developed.</w:t>
      </w:r>
    </w:p>
    <w:p>
      <w:pPr>
        <w:pStyle w:val="Heading2"/>
        <w:spacing w:after="80" w:before="240"/>
      </w:pPr>
      <w:r>
        <w:rPr>
          <w:rFonts w:ascii="Arial" w:cs="Arial" w:eastAsia="Arial" w:hAnsi="Arial"/>
          <w:b/>
          <w:bCs/>
          <w:color w:val="2D2D2D"/>
          <w:sz w:val="24"/>
          <w:szCs w:val="24"/>
        </w:rPr>
        <w:t xml:space="preserve">6.5 Agent 5: Confidence Filter and Output Generator</w:t>
      </w:r>
    </w:p>
    <w:p>
      <w:pPr>
        <w:spacing w:after="120" w:before="60" w:line="320" w:lineRule="auto"/>
        <w:jc w:val="both"/>
      </w:pPr>
      <w:r>
        <w:rPr>
          <w:rFonts w:ascii="Arial" w:cs="Arial" w:eastAsia="Arial" w:hAnsi="Arial"/>
          <w:color w:val="2D2D2D"/>
          <w:sz w:val="22"/>
          <w:szCs w:val="22"/>
        </w:rPr>
        <w:t xml:space="preserve">Agent 5 applies ring-based attenuation discounting, prunes entities below the materiality threshold (currently MIN_SPAWN_MAGNITUDE = 0.05), and produces both structured JSON output and natural language causal narratives for each retained entity. The natural language output is not decorative. Institutional practitioners need to understand, validate, and defend the reasoning behind any action the system recommends. Without explainable output, the system cannot be trusted in practice regardless of how accurate its predictions are.</w:t>
      </w:r>
    </w:p>
    <w:p>
      <w:pPr>
        <w:pBdr>
          <w:top w:val="none" w:sz="0" w:space="0" w:color="auto"/>
          <w:left w:val="single" w:color="9D2235" w:sz="12" w:space="6"/>
          <w:bottom w:val="none" w:sz="0" w:space="0" w:color="auto"/>
          <w:right w:val="none" w:sz="0" w:space="0" w:color="auto"/>
        </w:pBdr>
        <w:spacing w:after="80" w:before="80" w:line="320" w:lineRule="auto"/>
        <w:ind w:left="720" w:right="360"/>
        <w:jc w:val="both"/>
      </w:pPr>
      <w:r>
        <w:rPr>
          <w:rFonts w:ascii="Arial" w:cs="Arial" w:eastAsia="Arial" w:hAnsi="Arial"/>
          <w:b/>
          <w:bCs/>
          <w:color w:val="9D2235"/>
          <w:sz w:val="22"/>
          <w:szCs w:val="22"/>
        </w:rPr>
        <w:t xml:space="preserve">Research Finding  </w:t>
      </w:r>
      <w:r>
        <w:rPr>
          <w:rFonts w:ascii="Arial" w:cs="Arial" w:eastAsia="Arial" w:hAnsi="Arial"/>
          <w:color w:val="2D2D2D"/>
          <w:sz w:val="22"/>
          <w:szCs w:val="22"/>
        </w:rPr>
        <w:t xml:space="preserve">The MIN_SPAWN_MAGNITUDE threshold at 0.05 exhibits a property worth noting for the research agenda. Entities with magnitudes near this boundary are disproportionately sensitive to small parameter changes, for the same mathematical reason that a small boost dramatically increases the probability of scoring above a very high threshold on a normal distribution. A 5% change in event_significance can flip a borderline entity from excluded to included, potentially opening an entire new cross-graph spawn. The GNN policy will address this by replacing the hard binary threshold with a probability distribution over entity inclusion.</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7: The Three-Tier Event Classification Framework</w:t>
      </w:r>
    </w:p>
    <w:p>
      <w:pPr>
        <w:spacing w:after="120" w:before="60" w:line="320" w:lineRule="auto"/>
        <w:jc w:val="both"/>
      </w:pPr>
      <w:r>
        <w:rPr>
          <w:rFonts w:ascii="Arial" w:cs="Arial" w:eastAsia="Arial" w:hAnsi="Arial"/>
          <w:color w:val="2D2D2D"/>
          <w:sz w:val="22"/>
          <w:szCs w:val="22"/>
        </w:rPr>
        <w:t xml:space="preserve">Building and testing the pipeline made clear that not all financial events are architecturally equivalent. The Apple M3 event and the Iran war event look superficially similar from the pipeline's perspective (both are raw event text inputs) but require fundamentally different processing paths. Formalizing this distinction into a three-tier classification framework turned out to be one of the more important architectural insights from the empirical work.</w:t>
      </w:r>
    </w:p>
    <w:p>
      <w:pPr>
        <w:spacing w:after="120" w:before="60" w:line="320" w:lineRule="auto"/>
        <w:jc w:val="both"/>
      </w:pPr>
      <w:r>
        <w:rPr>
          <w:rFonts w:ascii="Arial" w:cs="Arial" w:eastAsia="Arial" w:hAnsi="Arial"/>
          <w:color w:val="2D2D2D"/>
          <w:sz w:val="22"/>
          <w:szCs w:val="22"/>
        </w:rPr>
        <w:t xml:space="preserve">This framework determines which pipeline the event enters, what graph schema is used, and what output types are produced. Getting the tier classification right at event onset is a prerequisite for everything else working correctly.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2360"/>
        <w:gridCol w:w="2200"/>
      </w:tblGrid>
      <w:tr>
        <w:trPr>
          <w:tblHeader/>
        </w:trPr>
        <w:tc>
          <w:tcPr>
            <w:tcW w:type="dxa" w:w="6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Tier</w:t>
            </w:r>
          </w:p>
        </w:tc>
        <w:tc>
          <w:tcPr>
            <w:tcW w:type="dxa" w:w="2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Event Class</w:t>
            </w:r>
          </w:p>
        </w:tc>
        <w:tc>
          <w:tcPr>
            <w:tcW w:type="dxa" w:w="20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Example</w:t>
            </w:r>
          </w:p>
        </w:tc>
        <w:tc>
          <w:tcPr>
            <w:tcW w:type="dxa" w:w="23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Source Entity Type</w:t>
            </w:r>
          </w:p>
        </w:tc>
        <w:tc>
          <w:tcPr>
            <w:tcW w:type="dxa" w:w="2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Graph Schema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Corporate Financial Event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Apple M3 announcement, Intel earnings miss, TSMC factory fire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Publicly traded company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Corporate relationship graph with supplier, competitor, customer, licensor edges</w:t>
            </w:r>
          </w:p>
        </w:tc>
      </w:tr>
      <w:tr>
        <w:tc>
          <w:tcPr>
            <w:tcW w:type="dxa" w:w="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2</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Geopolitical Energy Disruption</w:t>
            </w:r>
          </w:p>
        </w:tc>
        <w:tc>
          <w:tcPr>
            <w:tcW w:type="dxa" w:w="2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Iran war Hormuz closure, Russia-Ukraine gas weaponization, Arab oil embargo</w:t>
            </w:r>
          </w:p>
        </w:tc>
        <w:tc>
          <w:tcPr>
            <w:tcW w:type="dxa" w:w="23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Sovereign nation or geographic chokepoint</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Geopolitical energy chain graph with geographic_dependency, feedstock_cost_transmission, input_cost_propagation edges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Macroeconomic Cascade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Fed rate decision, CPI surprise, global recession signal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Economic indicator or policy institution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Macro transmission graph with oil-to-CPI, CPI-to-Fed-funds, Fed-to-mortgage edges</w:t>
            </w:r>
          </w:p>
        </w:tc>
      </w:tr>
    </w:tbl>
    <w:p>
      <w:pPr>
        <w:spacing w:after="120" w:before="120"/>
      </w:pPr>
    </w:p>
    <w:p>
      <w:pPr>
        <w:pStyle w:val="Heading2"/>
        <w:spacing w:after="80" w:before="240"/>
      </w:pPr>
      <w:r>
        <w:rPr>
          <w:rFonts w:ascii="Arial" w:cs="Arial" w:eastAsia="Arial" w:hAnsi="Arial"/>
          <w:b/>
          <w:bCs/>
          <w:color w:val="2D2D2D"/>
          <w:sz w:val="24"/>
          <w:szCs w:val="24"/>
        </w:rPr>
        <w:t xml:space="preserve">7.1 Why Tier 1 Was Solved First</w:t>
      </w:r>
    </w:p>
    <w:p>
      <w:pPr>
        <w:spacing w:after="120" w:before="60" w:line="320" w:lineRule="auto"/>
        <w:jc w:val="both"/>
      </w:pPr>
      <w:r>
        <w:rPr>
          <w:rFonts w:ascii="Arial" w:cs="Arial" w:eastAsia="Arial" w:hAnsi="Arial"/>
          <w:color w:val="2D2D2D"/>
          <w:sz w:val="22"/>
          <w:szCs w:val="22"/>
        </w:rPr>
        <w:t xml:space="preserve">Tier 1 events have three properties that make them tractable for a proof-of-concept. Source entities are publicly traded companies identifiable in the knowledge graph. Relationship types are documented in SEC filings and earnings transcripts. The reward signal for eventual GNN training (abnormal returns) is directly observable from market data after the event.</w:t>
      </w:r>
    </w:p>
    <w:p>
      <w:pPr>
        <w:spacing w:after="120" w:before="60" w:line="320" w:lineRule="auto"/>
        <w:jc w:val="both"/>
      </w:pPr>
      <w:r>
        <w:rPr>
          <w:rFonts w:ascii="Arial" w:cs="Arial" w:eastAsia="Arial" w:hAnsi="Arial"/>
          <w:color w:val="2D2D2D"/>
          <w:sz w:val="22"/>
          <w:szCs w:val="22"/>
        </w:rPr>
        <w:t xml:space="preserve">The Apple M3 test demonstrated all of this working end to end. A single raw event text traced to seven affected entities across two knowledge graphs with no hardcoded values, correctly signed magnitudes, and cross-graph spawning from semiconductors into cloud infrastructure. That is a complete Tier 1 pipeline running correctly.</w:t>
      </w:r>
    </w:p>
    <w:p>
      <w:pPr>
        <w:pStyle w:val="Heading2"/>
        <w:spacing w:after="80" w:before="240"/>
      </w:pPr>
      <w:r>
        <w:rPr>
          <w:rFonts w:ascii="Arial" w:cs="Arial" w:eastAsia="Arial" w:hAnsi="Arial"/>
          <w:b/>
          <w:bCs/>
          <w:color w:val="2D2D2D"/>
          <w:sz w:val="24"/>
          <w:szCs w:val="24"/>
        </w:rPr>
        <w:t xml:space="preserve">7.2 Why Tier 2 Requires Different Architecture</w:t>
      </w:r>
    </w:p>
    <w:p>
      <w:pPr>
        <w:spacing w:after="120" w:before="60" w:line="320" w:lineRule="auto"/>
        <w:jc w:val="both"/>
      </w:pPr>
      <w:r>
        <w:rPr>
          <w:rFonts w:ascii="Arial" w:cs="Arial" w:eastAsia="Arial" w:hAnsi="Arial"/>
          <w:color w:val="2D2D2D"/>
          <w:sz w:val="22"/>
          <w:szCs w:val="22"/>
        </w:rPr>
        <w:t xml:space="preserve">The Iran war test was specifically designed to expose the Tier 2 problem. The pipeline correctly classified the event as geopolitical, correctly extracted the geographic chokepoint entity, and correctly found that none of the extracted entities existed in any registered corporate knowledge graph. The pipeline halted cleanly with a structured diagnostic output. That is the right behavior, not a failure.</w:t>
      </w:r>
    </w:p>
    <w:p>
      <w:pPr>
        <w:spacing w:after="120" w:before="60" w:line="320" w:lineRule="auto"/>
        <w:jc w:val="both"/>
      </w:pPr>
      <w:r>
        <w:rPr>
          <w:rFonts w:ascii="Arial" w:cs="Arial" w:eastAsia="Arial" w:hAnsi="Arial"/>
          <w:color w:val="2D2D2D"/>
          <w:sz w:val="22"/>
          <w:szCs w:val="22"/>
        </w:rPr>
        <w:t xml:space="preserve">The architectural requirement for Tier 2 is a sovereign-to-corporate bridge: a graph that connects sovereign actors and geographic chokepoints to the publicly traded companies whose operations depend on them. The key insight from studying six major geopolitical energy disruptions (1973, 1979, 1990, 2022, 2021, 2026) is that this bridge graph is stable across 50 years of history. The same company nodes appear each time, connected through the same relationship types. This means the bridge can be pre-built from historical evidence rather than constructed dynamically for each new event.</w:t>
      </w:r>
    </w:p>
    <w:p>
      <w:pPr>
        <w:pStyle w:val="Heading2"/>
        <w:spacing w:after="80" w:before="240"/>
      </w:pPr>
      <w:r>
        <w:rPr>
          <w:rFonts w:ascii="Arial" w:cs="Arial" w:eastAsia="Arial" w:hAnsi="Arial"/>
          <w:b/>
          <w:bCs/>
          <w:color w:val="2D2D2D"/>
          <w:sz w:val="24"/>
          <w:szCs w:val="24"/>
        </w:rPr>
        <w:t xml:space="preserve">7.3 The Propagation Topology Classifier</w:t>
      </w:r>
    </w:p>
    <w:p>
      <w:pPr>
        <w:spacing w:after="120" w:before="60" w:line="320" w:lineRule="auto"/>
        <w:jc w:val="both"/>
      </w:pPr>
      <w:r>
        <w:rPr>
          <w:rFonts w:ascii="Arial" w:cs="Arial" w:eastAsia="Arial" w:hAnsi="Arial"/>
          <w:color w:val="2D2D2D"/>
          <w:sz w:val="22"/>
          <w:szCs w:val="22"/>
        </w:rPr>
        <w:t xml:space="preserve">Before graph traversal begins, AFRED needs a component that classifies event topology: is this event company-level (steep attenuation curve, terminates at Ring 2) or systemic (flat attenuation curve, meaningful effects through Ring 4)? The classification must be made from the event description alone, before observing any market response.</w:t>
      </w:r>
    </w:p>
    <w:p>
      <w:pPr>
        <w:spacing w:after="120" w:before="60" w:line="320" w:lineRule="auto"/>
        <w:jc w:val="both"/>
      </w:pPr>
      <w:r>
        <w:rPr>
          <w:rFonts w:ascii="Arial" w:cs="Arial" w:eastAsia="Arial" w:hAnsi="Arial"/>
          <w:color w:val="2D2D2D"/>
          <w:sz w:val="22"/>
          <w:szCs w:val="22"/>
        </w:rPr>
        <w:t xml:space="preserve">The features that distinguish the two types include the percentage of global supply affected, whether the mechanism is a physical chokepoint or an operational failure, how many sectors are simultaneously implicated, and geographic scope. Training data for this classifier would be historical events labeled by whether they activated Ring 3 or beyond in market data. This is an independently defined research contribution.</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8: Dynamic Knowledge Graph Construction</w:t>
      </w:r>
    </w:p>
    <w:p>
      <w:pPr>
        <w:spacing w:after="120" w:before="60" w:line="320" w:lineRule="auto"/>
        <w:jc w:val="both"/>
      </w:pPr>
      <w:r>
        <w:rPr>
          <w:rFonts w:ascii="Arial" w:cs="Arial" w:eastAsia="Arial" w:hAnsi="Arial"/>
          <w:color w:val="2D2D2D"/>
          <w:sz w:val="22"/>
          <w:szCs w:val="22"/>
        </w:rPr>
        <w:t xml:space="preserve">The original architecture description treated dynamic knowledge graph construction as an engineering infrastructure challenge. Building the prototype clarified that it is a research problem requiring novel methodology, particularly for geopolitical events where the relevant graph schema does not exist in any financial data source.</w:t>
      </w:r>
    </w:p>
    <w:p>
      <w:pPr>
        <w:pStyle w:val="Heading2"/>
        <w:spacing w:after="80" w:before="240"/>
      </w:pPr>
      <w:r>
        <w:rPr>
          <w:rFonts w:ascii="Arial" w:cs="Arial" w:eastAsia="Arial" w:hAnsi="Arial"/>
          <w:b/>
          <w:bCs/>
          <w:color w:val="2D2D2D"/>
          <w:sz w:val="24"/>
          <w:szCs w:val="24"/>
        </w:rPr>
        <w:t xml:space="preserve">8.1 What Dynamic Construction Actually Requires</w:t>
      </w:r>
    </w:p>
    <w:p>
      <w:pPr>
        <w:spacing w:after="120" w:before="60" w:line="320" w:lineRule="auto"/>
        <w:jc w:val="both"/>
      </w:pPr>
      <w:r>
        <w:rPr>
          <w:rFonts w:ascii="Arial" w:cs="Arial" w:eastAsia="Arial" w:hAnsi="Arial"/>
          <w:color w:val="2D2D2D"/>
          <w:sz w:val="22"/>
          <w:szCs w:val="22"/>
        </w:rPr>
        <w:t xml:space="preserve">For corporate events, dynamic construction means keeping the graph current: new supplier agreements, new competitive relationships, executive changes that alter strategic direction. These can be extracted from SEC filings, earnings call transcripts, and financial news using LLM-based NER and relation extraction. The research challenge is doing this at scale with high precision and low noise.</w:t>
      </w:r>
    </w:p>
    <w:p>
      <w:pPr>
        <w:spacing w:after="120" w:before="60" w:line="320" w:lineRule="auto"/>
        <w:jc w:val="both"/>
      </w:pPr>
      <w:r>
        <w:rPr>
          <w:rFonts w:ascii="Arial" w:cs="Arial" w:eastAsia="Arial" w:hAnsi="Arial"/>
          <w:color w:val="2D2D2D"/>
          <w:sz w:val="22"/>
          <w:szCs w:val="22"/>
        </w:rPr>
        <w:t xml:space="preserve">For geopolitical events, the challenge is different in kind, not just scale. The Strait of Hormuz is not mentioned in any company's 10-K filing as a geographic dependency. Saudi Aramco does not disclose that 85% of its exports transit a specific 21-mile-wide passage. The relevant relationships exist in trade flow databases, shipping lane utilization data, and energy infrastructure registries, not in financial disclosures. Building an extraction pipeline for these sources requires a different schema, different data sources, and different validation methodology than the corporate graph pipeline.</w:t>
      </w:r>
    </w:p>
    <w:p>
      <w:pPr>
        <w:pStyle w:val="Heading2"/>
        <w:spacing w:after="80" w:before="240"/>
      </w:pPr>
      <w:r>
        <w:rPr>
          <w:rFonts w:ascii="Arial" w:cs="Arial" w:eastAsia="Arial" w:hAnsi="Arial"/>
          <w:b/>
          <w:bCs/>
          <w:color w:val="2D2D2D"/>
          <w:sz w:val="24"/>
          <w:szCs w:val="24"/>
        </w:rPr>
        <w:t xml:space="preserve">8.2 The Dynamic Construction Architecture for Corporate Events</w:t>
      </w:r>
    </w:p>
    <w:p>
      <w:pPr>
        <w:spacing w:after="120" w:before="60" w:line="320" w:lineRule="auto"/>
        <w:jc w:val="both"/>
      </w:pPr>
      <w:r>
        <w:rPr>
          <w:rFonts w:ascii="Arial" w:cs="Arial" w:eastAsia="Arial" w:hAnsi="Arial"/>
          <w:color w:val="2D2D2D"/>
          <w:sz w:val="22"/>
          <w:szCs w:val="22"/>
        </w:rPr>
        <w:t xml:space="preserve">For events where the source entity is not in any registered graph but is still a corporate entity, the pipeline can attempt to bootstrap a minimal subgraph using LLM semantic reasoning. The proposed three-layer architecture:</w:t>
      </w:r>
    </w:p>
    <w:p>
      <w:pPr>
        <w:pStyle w:val="ListParagraph"/>
        <w:numPr>
          <w:ilvl w:val="0"/>
          <w:numId w:val="2"/>
        </w:numPr>
        <w:spacing w:after="60" w:before="60" w:line="300" w:lineRule="auto"/>
      </w:pPr>
      <w:r>
        <w:rPr>
          <w:rFonts w:ascii="Arial" w:cs="Arial" w:eastAsia="Arial" w:hAnsi="Arial"/>
          <w:color w:val="2D2D2D"/>
          <w:sz w:val="22"/>
          <w:szCs w:val="22"/>
        </w:rPr>
        <w:t xml:space="preserve">Semantic extraction: LLM reads the raw event text and produces candidate nodes with types and roles, candidate edges with relationship types, and estimated exposure weights. This creates a raw candidate graph.</w:t>
      </w:r>
    </w:p>
    <w:p>
      <w:pPr>
        <w:pStyle w:val="ListParagraph"/>
        <w:numPr>
          <w:ilvl w:val="0"/>
          <w:numId w:val="2"/>
        </w:numPr>
        <w:spacing w:after="60" w:before="60" w:line="300" w:lineRule="auto"/>
      </w:pPr>
      <w:r>
        <w:rPr>
          <w:rFonts w:ascii="Arial" w:cs="Arial" w:eastAsia="Arial" w:hAnsi="Arial"/>
          <w:color w:val="2D2D2D"/>
          <w:sz w:val="22"/>
          <w:szCs w:val="22"/>
        </w:rPr>
        <w:t xml:space="preserve">Validation: A second LLM call validates each candidate edge against documented economic reasoning. Low-confidence edges are flagged for human review. High-confidence edges are accepted into the working graph.</w:t>
      </w:r>
    </w:p>
    <w:p>
      <w:pPr>
        <w:pStyle w:val="ListParagraph"/>
        <w:numPr>
          <w:ilvl w:val="0"/>
          <w:numId w:val="2"/>
        </w:numPr>
        <w:spacing w:after="60" w:before="60" w:line="300" w:lineRule="auto"/>
      </w:pPr>
      <w:r>
        <w:rPr>
          <w:rFonts w:ascii="Arial" w:cs="Arial" w:eastAsia="Arial" w:hAnsi="Arial"/>
          <w:color w:val="2D2D2D"/>
          <w:sz w:val="22"/>
          <w:szCs w:val="22"/>
        </w:rPr>
        <w:t xml:space="preserve">Confidence tiering: Dynamically constructed graphs receive a reduced confidence multiplier (proposed at 0.65) compared to pre-built graphs sourced from SEC filings (1.0). This ensures downstream magnitude calculations reflect the lower certainty of LLM-constructed relationships versus documented ones.</w:t>
      </w:r>
    </w:p>
    <w:p>
      <w:pPr>
        <w:pStyle w:val="Heading2"/>
        <w:spacing w:after="80" w:before="240"/>
      </w:pPr>
      <w:r>
        <w:rPr>
          <w:rFonts w:ascii="Arial" w:cs="Arial" w:eastAsia="Arial" w:hAnsi="Arial"/>
          <w:b/>
          <w:bCs/>
          <w:color w:val="2D2D2D"/>
          <w:sz w:val="24"/>
          <w:szCs w:val="24"/>
        </w:rPr>
        <w:t xml:space="preserve">8.3 The Geopolitical Graph as Pre-Built Static Structure</w:t>
      </w:r>
    </w:p>
    <w:p>
      <w:pPr>
        <w:spacing w:after="120" w:before="60" w:line="320" w:lineRule="auto"/>
        <w:jc w:val="both"/>
      </w:pPr>
      <w:r>
        <w:rPr>
          <w:rFonts w:ascii="Arial" w:cs="Arial" w:eastAsia="Arial" w:hAnsi="Arial"/>
          <w:color w:val="2D2D2D"/>
          <w:sz w:val="22"/>
          <w:szCs w:val="22"/>
        </w:rPr>
        <w:t xml:space="preserve">The most important insight from studying geopolitical energy events is that dynamic construction is not actually necessary for this event class. The six major disruptions since 1973 all activate the same company nodes through the same relationship types. CF Industries, Nutrien, Mosaic in fertilizers. ADM, Bunge, Corteva in agriculture. Walmart, Kroger in food retail. The graph is stable. The edges are stable. The temporal lag structure (energy prices move in days, fertilizer follows in two weeks, agricultural costs follow in six weeks) is consistent across all six events.</w:t>
      </w:r>
    </w:p>
    <w:p>
      <w:pPr>
        <w:spacing w:after="120" w:before="60" w:line="320" w:lineRule="auto"/>
        <w:jc w:val="both"/>
      </w:pPr>
      <w:r>
        <w:rPr>
          <w:rFonts w:ascii="Arial" w:cs="Arial" w:eastAsia="Arial" w:hAnsi="Arial"/>
          <w:color w:val="2D2D2D"/>
          <w:sz w:val="22"/>
          <w:szCs w:val="22"/>
        </w:rPr>
        <w:t xml:space="preserve">This means the geopolitical energy chain graph can be pre-built from historical evidence with quantified edge weights derived from measured price correlations across those six events. It does not need to be constructed dynamically for each new geopolitical event. The research challenge shifts from construction to validation: how well do edge weights estimated from 1973 through 2022 predict the 2026 event, and what adjustments are needed for changes in the global energy system between those periods.</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9: Geopolitical Energy Ripple Chain</w:t>
      </w:r>
    </w:p>
    <w:p>
      <w:pPr>
        <w:spacing w:after="120" w:before="60" w:line="320" w:lineRule="auto"/>
        <w:jc w:val="both"/>
      </w:pPr>
      <w:r>
        <w:rPr>
          <w:rFonts w:ascii="Arial" w:cs="Arial" w:eastAsia="Arial" w:hAnsi="Arial"/>
          <w:color w:val="2D2D2D"/>
          <w:sz w:val="22"/>
          <w:szCs w:val="22"/>
        </w:rPr>
        <w:t xml:space="preserve">Studying the Iran war analysis revealed a pattern that deserves its own research treatment, separate from the AFRED architecture work. Six major geopolitical energy supply disruptions spanning 1973 to 2026 all produce structurally similar causal chains through similar company nodes via similar edge types. That historical consistency raises a question not found in the literature reviewed: can ML models trained on those historical events predict the downstream financial effects of a new geopolitical disruption with quantified confidence at each causal hop?</w:t>
      </w:r>
    </w:p>
    <w:p>
      <w:pPr>
        <w:spacing w:after="120" w:before="60" w:line="320" w:lineRule="auto"/>
        <w:jc w:val="both"/>
      </w:pPr>
      <w:r>
        <w:rPr>
          <w:rFonts w:ascii="Arial" w:cs="Arial" w:eastAsia="Arial" w:hAnsi="Arial"/>
          <w:color w:val="2D2D2D"/>
          <w:sz w:val="22"/>
          <w:szCs w:val="22"/>
        </w:rPr>
        <w:t xml:space="preserve">This section documents a research direction saved for future development. It would become a companion paper to the AFRED architecture work, targeting empirical finance journals rather than AI systems venues. It is included here because it directly informs AFRED's geopolitical knowledge graph design and because understanding the historical pattern is prerequisite to building the Tier 2 pipeline.</w:t>
      </w:r>
    </w:p>
    <w:p>
      <w:pPr>
        <w:pStyle w:val="Heading2"/>
        <w:spacing w:after="80" w:before="240"/>
      </w:pPr>
      <w:r>
        <w:rPr>
          <w:rFonts w:ascii="Arial" w:cs="Arial" w:eastAsia="Arial" w:hAnsi="Arial"/>
          <w:b/>
          <w:bCs/>
          <w:color w:val="2D2D2D"/>
          <w:sz w:val="24"/>
          <w:szCs w:val="24"/>
        </w:rPr>
        <w:t xml:space="preserve">9.1 The Repeating Causal Chain</w:t>
      </w:r>
    </w:p>
    <w:p>
      <w:pPr>
        <w:spacing w:after="120" w:before="60" w:line="320" w:lineRule="auto"/>
        <w:jc w:val="both"/>
      </w:pPr>
      <w:r>
        <w:rPr>
          <w:rFonts w:ascii="Arial" w:cs="Arial" w:eastAsia="Arial" w:hAnsi="Arial"/>
          <w:color w:val="2D2D2D"/>
          <w:sz w:val="22"/>
          <w:szCs w:val="22"/>
        </w:rPr>
        <w:t xml:space="preserve">Across all six events, the downstream financial market effects follow the same structure:</w:t>
      </w:r>
    </w:p>
    <w:p>
      <w:pPr>
        <w:spacing w:after="120" w:before="120" w:line="340" w:lineRule="auto"/>
        <w:ind w:left="720"/>
      </w:pPr>
      <w:r>
        <w:rPr>
          <w:rFonts w:ascii="Courier New" w:cs="Courier New" w:eastAsia="Courier New" w:hAnsi="Courier New"/>
          <w:color w:val="2D2D2D"/>
          <w:sz w:val="18"/>
          <w:szCs w:val="18"/>
        </w:rPr>
        <w:t xml:space="preserve">Geopolitical Trigger
  | geographic_dependency or supply_removal, lag 0-3 days
  ↓
Energy Price Surge (oil and/or LNG)  [Ring 0]
  | feedstock_cost_transmission, lag ~14 days
  ↓
Fertilizer Production Cost Surge  [Ring 1]
  | input_cost_propagation, lag ~45 days
  ↓
Agricultural Input Cost Crisis  [Ring 2]
  | supply_chain_passthrough, lag ~90 days
  ↓
Food Price Inflation  [Ring 3]
  | purchasing_power_erosion, lag ~120 days
  ↓
Consumer Welfare Compression and Monetary Policy Response  [Ring 4+]</w:t>
      </w:r>
    </w:p>
    <w:p>
      <w:pPr>
        <w:pStyle w:val="Heading2"/>
        <w:spacing w:after="80" w:before="240"/>
      </w:pPr>
      <w:r>
        <w:rPr>
          <w:rFonts w:ascii="Arial" w:cs="Arial" w:eastAsia="Arial" w:hAnsi="Arial"/>
          <w:b/>
          <w:bCs/>
          <w:color w:val="2D2D2D"/>
          <w:sz w:val="24"/>
          <w:szCs w:val="24"/>
        </w:rPr>
        <w:t xml:space="preserve">9.2 The Six Events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600"/>
        <w:gridCol w:w="1200"/>
        <w:gridCol w:w="4360"/>
      </w:tblGrid>
      <w:tr>
        <w:trPr>
          <w:tblHeader/>
        </w:trPr>
        <w:tc>
          <w:tcPr>
            <w:tcW w:type="dxa" w:w="14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Event</w:t>
            </w:r>
          </w:p>
        </w:tc>
        <w:tc>
          <w:tcPr>
            <w:tcW w:type="dxa" w:w="8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Year</w:t>
            </w:r>
          </w:p>
        </w:tc>
        <w:tc>
          <w:tcPr>
            <w:tcW w:type="dxa" w:w="16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Supply Disrupted</w:t>
            </w:r>
          </w:p>
        </w:tc>
        <w:tc>
          <w:tcPr>
            <w:tcW w:type="dxa" w:w="1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Duration</w:t>
            </w:r>
          </w:p>
        </w:tc>
        <w:tc>
          <w:tcPr>
            <w:tcW w:type="dxa" w:w="43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Key Training Value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Arab Oil Embargo</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1973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~6% of global oil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5 months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Full chain activation. Clean Ring 0 and Ring 1 data available.</w:t>
            </w:r>
          </w:p>
        </w:tc>
      </w:tr>
      <w:tr>
        <w:tc>
          <w:tcPr>
            <w:tcW w:type="dxa" w:w="14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Iranian Revolution</w:t>
            </w:r>
          </w:p>
        </w:tc>
        <w:tc>
          <w:tcPr>
            <w:tcW w:type="dxa" w:w="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1979</w:t>
            </w:r>
          </w:p>
        </w:tc>
        <w:tc>
          <w:tcPr>
            <w:tcW w:type="dxa" w:w="1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~4-7% of global oil</w:t>
            </w:r>
          </w:p>
        </w:tc>
        <w:tc>
          <w:tcPr>
            <w:tcW w:type="dxa" w:w="1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18 months</w:t>
            </w:r>
          </w:p>
        </w:tc>
        <w:tc>
          <w:tcPr>
            <w:tcW w:type="dxa" w:w="43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Best available data for Ring 2 and Ring 3. Full chain including food inflation and Fed response.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Gulf War</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1990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~6% of global oil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6 months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Clean Ring 0. Chain shortened by coalition response.</w:t>
            </w:r>
          </w:p>
        </w:tc>
      </w:tr>
      <w:tr>
        <w:tc>
          <w:tcPr>
            <w:tcW w:type="dxa" w:w="14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Russia-Ukraine War</w:t>
            </w:r>
          </w:p>
        </w:tc>
        <w:tc>
          <w:tcPr>
            <w:tcW w:type="dxa" w:w="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2022</w:t>
            </w:r>
          </w:p>
        </w:tc>
        <w:tc>
          <w:tcPr>
            <w:tcW w:type="dxa" w:w="1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~8% of European gas</w:t>
            </w:r>
          </w:p>
        </w:tc>
        <w:tc>
          <w:tcPr>
            <w:tcW w:type="dxa" w:w="1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Ongoing</w:t>
            </w:r>
          </w:p>
        </w:tc>
        <w:tc>
          <w:tcPr>
            <w:tcW w:type="dxa" w:w="43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Best Ring 1 fertilizer training data. Comprehensive modern documentation.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Suez Canal Blockage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2021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&lt;1% of trade for 6 days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6 days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Control case demonstrating chain termination at Ring 1 due to short duration.</w:t>
            </w:r>
          </w:p>
        </w:tc>
      </w:tr>
      <w:tr>
        <w:tc>
          <w:tcPr>
            <w:tcW w:type="dxa" w:w="14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US-Iran War / Hormuz</w:t>
            </w:r>
          </w:p>
        </w:tc>
        <w:tc>
          <w:tcPr>
            <w:tcW w:type="dxa" w:w="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2026</w:t>
            </w:r>
          </w:p>
        </w:tc>
        <w:tc>
          <w:tcPr>
            <w:tcW w:type="dxa" w:w="1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~20% of global oil and LNG</w:t>
            </w:r>
          </w:p>
        </w:tc>
        <w:tc>
          <w:tcPr>
            <w:tcW w:type="dxa" w:w="1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Ongoing</w:t>
            </w:r>
          </w:p>
        </w:tc>
        <w:tc>
          <w:tcPr>
            <w:tcW w:type="dxa" w:w="43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Real-time validation case. All ring data currently accumulating.</w:t>
            </w:r>
          </w:p>
        </w:tc>
      </w:tr>
    </w:tbl>
    <w:p>
      <w:pPr>
        <w:spacing w:after="120" w:before="120"/>
      </w:pPr>
    </w:p>
    <w:p>
      <w:pPr>
        <w:pStyle w:val="Heading2"/>
        <w:spacing w:after="80" w:before="240"/>
      </w:pPr>
      <w:r>
        <w:rPr>
          <w:rFonts w:ascii="Arial" w:cs="Arial" w:eastAsia="Arial" w:hAnsi="Arial"/>
          <w:b/>
          <w:bCs/>
          <w:color w:val="2D2D2D"/>
          <w:sz w:val="24"/>
          <w:szCs w:val="24"/>
        </w:rPr>
        <w:t xml:space="preserve">9.3 The Four Predictive Variables</w:t>
      </w:r>
    </w:p>
    <w:p>
      <w:pPr>
        <w:spacing w:after="120" w:before="60" w:line="320" w:lineRule="auto"/>
        <w:jc w:val="both"/>
      </w:pPr>
      <w:r>
        <w:rPr>
          <w:rFonts w:ascii="Arial" w:cs="Arial" w:eastAsia="Arial" w:hAnsi="Arial"/>
          <w:color w:val="2D2D2D"/>
          <w:sz w:val="22"/>
          <w:szCs w:val="22"/>
        </w:rPr>
        <w:t xml:space="preserve">Four variables measurable at event onset appear to drive most of the variance in downstream effect magnitude across all six events:</w:t>
      </w:r>
    </w:p>
    <w:p>
      <w:pPr>
        <w:pStyle w:val="ListParagraph"/>
        <w:numPr>
          <w:ilvl w:val="0"/>
          <w:numId w:val="2"/>
        </w:numPr>
        <w:spacing w:after="60" w:before="60" w:line="300" w:lineRule="auto"/>
      </w:pPr>
      <w:r>
        <w:rPr>
          <w:rFonts w:ascii="Arial" w:cs="Arial" w:eastAsia="Arial" w:hAnsi="Arial"/>
          <w:color w:val="2D2D2D"/>
          <w:sz w:val="22"/>
          <w:szCs w:val="22"/>
        </w:rPr>
        <w:t xml:space="preserve">Percentage of global supply disrupted: below 5% produces limited downstream effects; above 15% tends to activate the full chain. The 2026 Hormuz closure at roughly 20% is the largest disruption in the dataset.</w:t>
      </w:r>
    </w:p>
    <w:p>
      <w:pPr>
        <w:pStyle w:val="ListParagraph"/>
        <w:numPr>
          <w:ilvl w:val="0"/>
          <w:numId w:val="2"/>
        </w:numPr>
        <w:spacing w:after="60" w:before="60" w:line="300" w:lineRule="auto"/>
      </w:pPr>
      <w:r>
        <w:rPr>
          <w:rFonts w:ascii="Arial" w:cs="Arial" w:eastAsia="Arial" w:hAnsi="Arial"/>
          <w:color w:val="2D2D2D"/>
          <w:sz w:val="22"/>
          <w:szCs w:val="22"/>
        </w:rPr>
        <w:t xml:space="preserve">Duration: the single most important variable. Under two weeks, the chain terminates at Ring 1. Over eight weeks, full chain activation including food inflation and monetary policy response. Duration is also the hardest variable to estimate at event onset, which is itself a research problem.</w:t>
      </w:r>
    </w:p>
    <w:p>
      <w:pPr>
        <w:pStyle w:val="ListParagraph"/>
        <w:numPr>
          <w:ilvl w:val="0"/>
          <w:numId w:val="2"/>
        </w:numPr>
        <w:spacing w:after="60" w:before="60" w:line="300" w:lineRule="auto"/>
      </w:pPr>
      <w:r>
        <w:rPr>
          <w:rFonts w:ascii="Arial" w:cs="Arial" w:eastAsia="Arial" w:hAnsi="Arial"/>
          <w:color w:val="2D2D2D"/>
          <w:sz w:val="22"/>
          <w:szCs w:val="22"/>
        </w:rPr>
        <w:t xml:space="preserve">Substitutability: how easily the disrupted supply can be replaced through alternative routes or sources. Low substitutability means the signal attenuates more slowly and propagates further. The 2021 Suez blockage had high substitutability through the Cape of Good Hope. The 2026 Hormuz closure has very low substitutability for Asian LNG markets.</w:t>
      </w:r>
    </w:p>
    <w:p>
      <w:pPr>
        <w:pStyle w:val="ListParagraph"/>
        <w:numPr>
          <w:ilvl w:val="0"/>
          <w:numId w:val="2"/>
        </w:numPr>
        <w:spacing w:after="60" w:before="60" w:line="300" w:lineRule="auto"/>
      </w:pPr>
      <w:r>
        <w:rPr>
          <w:rFonts w:ascii="Arial" w:cs="Arial" w:eastAsia="Arial" w:hAnsi="Arial"/>
          <w:color w:val="2D2D2D"/>
          <w:sz w:val="22"/>
          <w:szCs w:val="22"/>
        </w:rPr>
        <w:t xml:space="preserve">Planting season overlap: a binary amplifier for Ring 2 effects. Disruption during the March through May window in the northern hemisphere multiplies agricultural impact substantially because fertilizer missed during planting cannot be compensated later in the growing cycle.</w:t>
      </w:r>
    </w:p>
    <w:p>
      <w:pPr>
        <w:pStyle w:val="Heading2"/>
        <w:spacing w:after="80" w:before="240"/>
      </w:pPr>
      <w:r>
        <w:rPr>
          <w:rFonts w:ascii="Arial" w:cs="Arial" w:eastAsia="Arial" w:hAnsi="Arial"/>
          <w:b/>
          <w:bCs/>
          <w:color w:val="2D2D2D"/>
          <w:sz w:val="24"/>
          <w:szCs w:val="24"/>
        </w:rPr>
        <w:t xml:space="preserve">9.4 Why This Is Worth Studying</w:t>
      </w:r>
    </w:p>
    <w:p>
      <w:pPr>
        <w:spacing w:after="120" w:before="60" w:line="320" w:lineRule="auto"/>
        <w:jc w:val="both"/>
      </w:pPr>
      <w:r>
        <w:rPr>
          <w:rFonts w:ascii="Arial" w:cs="Arial" w:eastAsia="Arial" w:hAnsi="Arial"/>
          <w:color w:val="2D2D2D"/>
          <w:sz w:val="22"/>
          <w:szCs w:val="22"/>
        </w:rPr>
        <w:t xml:space="preserve">From the literature reviewed, no paper has formally tested whether the historical consistency of this causal chain is strong enough to train ML models that predict new events. The Caldara and Iacoviello GPR index predicts aggregate oil price direction. Event study papers estimate average abnormal returns for energy sector companies. Bilateral supply chain contagion models quantify single-hop transmission. What has not been found is a paper that trains a cascade model across the full multi-sector chain and measures prediction accuracy ring by ring with explicit confidence quantification. That is the research claim this work would test.</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10: Macroeconomic and Consumer Impact Layer</w:t>
      </w:r>
    </w:p>
    <w:p>
      <w:pPr>
        <w:spacing w:after="120" w:before="60" w:line="320" w:lineRule="auto"/>
        <w:jc w:val="both"/>
      </w:pPr>
      <w:r>
        <w:rPr>
          <w:rFonts w:ascii="Arial" w:cs="Arial" w:eastAsia="Arial" w:hAnsi="Arial"/>
          <w:color w:val="2D2D2D"/>
          <w:sz w:val="22"/>
          <w:szCs w:val="22"/>
        </w:rPr>
        <w:t xml:space="preserve">The Strait of Hormuz analysis made clear that a complete ripple chain analysis cannot stop at corporate equities. The chain that Steve Ratner traced in March 2026 went from oil prices through gasoline, fertilizer, food, diesel, trucking, inflation, Fed rate decisions, mortgage rates, and ultimately household purchasing power. The entity at the end of that chain is not a publicly traded company. It is a family deciding whether they can afford a house.</w:t>
      </w:r>
    </w:p>
    <w:p>
      <w:pPr>
        <w:spacing w:after="120" w:before="60" w:line="320" w:lineRule="auto"/>
        <w:jc w:val="both"/>
      </w:pPr>
      <w:r>
        <w:rPr>
          <w:rFonts w:ascii="Arial" w:cs="Arial" w:eastAsia="Arial" w:hAnsi="Arial"/>
          <w:color w:val="2D2D2D"/>
          <w:sz w:val="22"/>
          <w:szCs w:val="22"/>
        </w:rPr>
        <w:t xml:space="preserve">AFRED's architecture as described in Section 6 handles the first few hops of that chain well. Adding the macro and consumer layer is what turns it from a financial markets tool into something that policy analysts, central banks, and government institutions would actually use.</w:t>
      </w:r>
    </w:p>
    <w:p>
      <w:pPr>
        <w:pStyle w:val="Heading2"/>
        <w:spacing w:after="80" w:before="240"/>
      </w:pPr>
      <w:r>
        <w:rPr>
          <w:rFonts w:ascii="Arial" w:cs="Arial" w:eastAsia="Arial" w:hAnsi="Arial"/>
          <w:b/>
          <w:bCs/>
          <w:color w:val="2D2D2D"/>
          <w:sz w:val="24"/>
          <w:szCs w:val="24"/>
        </w:rPr>
        <w:t xml:space="preserve">10.1 The Extended Chain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2500"/>
        <w:gridCol w:w="1460"/>
      </w:tblGrid>
      <w:tr>
        <w:trPr>
          <w:tblHeader/>
        </w:trPr>
        <w:tc>
          <w:tcPr>
            <w:tcW w:type="dxa" w:w="9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Ring</w:t>
            </w:r>
          </w:p>
        </w:tc>
        <w:tc>
          <w:tcPr>
            <w:tcW w:type="dxa" w:w="20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Effect</w:t>
            </w:r>
          </w:p>
        </w:tc>
        <w:tc>
          <w:tcPr>
            <w:tcW w:type="dxa" w:w="25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Mechanism</w:t>
            </w:r>
          </w:p>
        </w:tc>
        <w:tc>
          <w:tcPr>
            <w:tcW w:type="dxa" w:w="25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Quantified Relationship</w:t>
            </w:r>
          </w:p>
        </w:tc>
        <w:tc>
          <w:tcPr>
            <w:tcW w:type="dxa" w:w="14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Ring 0-2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Corporate energy, fertilizer, agriculture companies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Standard AFRED corporate pipeline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Magnitudes computed via attenuation model</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p>
        </w:tc>
      </w:tr>
      <w:tr>
        <w:tc>
          <w:tcPr>
            <w:tcW w:type="dxa" w:w="9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Ring 3 Macro</w:t>
            </w:r>
          </w:p>
        </w:tc>
        <w:tc>
          <w:tcPr>
            <w:tcW w:type="dxa" w:w="2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CPI headline inflation</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Aggregate price level effect of simultaneous energy and food cost increases across the consumer basket</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Blanchard and Gali 2007, Kilian and Zhou 2022: roughly 0.15 to 0.25 CPI point per 10% oil price increase, varying by economy and regime</w:t>
            </w:r>
          </w:p>
        </w:tc>
        <w:tc>
          <w:tcPr>
            <w:tcW w:type="dxa" w:w="14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Ring 4 Macro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Federal Reserve policy response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When inflation overshoots the target, the Fed raises rates. Bernanke et al. 1997: 30-50% of oil shock output impact is attributable to the Fed response itself, not the underlying shock.</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Taylor Rule approximation: roughly 50 basis points Fed response per 1 percentage point inflation overshoot above target</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p>
        </w:tc>
      </w:tr>
      <w:tr>
        <w:tc>
          <w:tcPr>
            <w:tcW w:type="dxa" w:w="9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Ring 5 Consumer</w:t>
            </w:r>
          </w:p>
        </w:tc>
        <w:tc>
          <w:tcPr>
            <w:tcW w:type="dxa" w:w="2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Consumer credit costs</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Fed funds rate transmits to 30-year mortgage rate through the yield curve, with a pass-through of roughly 0.80 to 0.95 over 6 to 12 months</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For each 1 percentage point rise in mortgage rates, the affordable home price for a median household falls roughly 10 to 12%</w:t>
            </w:r>
          </w:p>
        </w:tc>
        <w:tc>
          <w:tcPr>
            <w:tcW w:type="dxa" w:w="14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Ring 6 Consumer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Household purchasing power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Real income compressed by simultaneous inflation on spending (groceries, gasoline) and rate increases on credit (mortgage, car loan, credit card)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Steve Ratner March 2026: OECD projected inflation rising from 2.4% to 4.2%; Fed rate cuts eliminated; mortgage affordability fell</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p>
        </w:tc>
      </w:tr>
      <w:tr>
        <w:tc>
          <w:tcPr>
            <w:tcW w:type="dxa" w:w="9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Ring 6 Geopolitical</w:t>
            </w:r>
          </w:p>
        </w:tc>
        <w:tc>
          <w:tcPr>
            <w:tcW w:type="dxa" w:w="2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Beneficiary windfall</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Oil exporters outside the disrupted zone receive windfall revenue at elevated prices</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IEA estimate: Russia received roughly $17B per month in additional revenue from the oil price spike caused by the Hormuz closure</w:t>
            </w:r>
          </w:p>
        </w:tc>
        <w:tc>
          <w:tcPr>
            <w:tcW w:type="dxa" w:w="14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p>
        </w:tc>
      </w:tr>
    </w:tbl>
    <w:p>
      <w:pPr>
        <w:spacing w:after="120" w:before="120"/>
      </w:pPr>
    </w:p>
    <w:p>
      <w:pPr>
        <w:pStyle w:val="Heading2"/>
        <w:spacing w:after="80" w:before="240"/>
      </w:pPr>
      <w:r>
        <w:rPr>
          <w:rFonts w:ascii="Arial" w:cs="Arial" w:eastAsia="Arial" w:hAnsi="Arial"/>
          <w:b/>
          <w:bCs/>
          <w:color w:val="2D2D2D"/>
          <w:sz w:val="24"/>
          <w:szCs w:val="24"/>
        </w:rPr>
        <w:t xml:space="preserve">10.2 New Node and Edge Types Required</w:t>
      </w:r>
    </w:p>
    <w:p>
      <w:pPr>
        <w:spacing w:after="120" w:before="60" w:line="320" w:lineRule="auto"/>
        <w:jc w:val="both"/>
      </w:pPr>
      <w:r>
        <w:rPr>
          <w:rFonts w:ascii="Arial" w:cs="Arial" w:eastAsia="Arial" w:hAnsi="Arial"/>
          <w:color w:val="2D2D2D"/>
          <w:sz w:val="22"/>
          <w:szCs w:val="22"/>
        </w:rPr>
        <w:t xml:space="preserve">The macro and consumer layer requires node types and edge types that do not currently exist in the AFRED knowledge graph schema: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Node Type</w:t>
            </w:r>
          </w:p>
        </w:tc>
        <w:tc>
          <w:tcPr>
            <w:tcW w:type="dxa" w:w="34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Examples</w:t>
            </w:r>
          </w:p>
        </w:tc>
        <w:tc>
          <w:tcPr>
            <w:tcW w:type="dxa" w:w="37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Data Source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Macroeconomic indicator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CPI_headline, PCE_deflator, federal_funds_rate, 30yr_mortgage_rate, 10yr_treasury_yield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BLS, Federal Reserve FRED database, H.15 release</w:t>
            </w:r>
          </w:p>
        </w:tc>
      </w:tr>
      <w:tr>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Consumer welfare</w:t>
            </w:r>
          </w:p>
        </w:tc>
        <w:tc>
          <w:tcPr>
            <w:tcW w:type="dxa" w:w="34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median_household_budget, food_expenditure_share_of_income, housing_affordability_index, real_disposable_income</w:t>
            </w:r>
          </w:p>
        </w:tc>
        <w:tc>
          <w:tcPr>
            <w:tcW w:type="dxa" w:w="37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BLS Consumer Expenditure Survey, University of Michigan Surveys of Consumers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Policy response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FOMC_rate_decision, strategic_petroleum_reserve_release, emergency_IEA_drawdown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Federal Reserve press releases, IEA, EIA</w:t>
            </w:r>
          </w:p>
        </w:tc>
      </w:tr>
      <w:tr>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Geopolitical beneficiary</w:t>
            </w:r>
          </w:p>
        </w:tc>
        <w:tc>
          <w:tcPr>
            <w:tcW w:type="dxa" w:w="34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Russia_oil_revenue, non-Hormuz_LNG_exporters, US_domestic_producers</w:t>
            </w:r>
          </w:p>
        </w:tc>
        <w:tc>
          <w:tcPr>
            <w:tcW w:type="dxa" w:w="37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IEA Monthly Oil Market Report, EIA, World Bank commodity data</w:t>
            </w:r>
          </w:p>
        </w:tc>
      </w:tr>
    </w:tbl>
    <w:p>
      <w:pPr>
        <w:spacing w:after="120" w:before="120"/>
      </w:pPr>
    </w:p>
    <w:p>
      <w:pPr>
        <w:spacing w:after="120" w:before="60" w:line="320" w:lineRule="auto"/>
        <w:jc w:val="both"/>
      </w:pPr>
      <w:r>
        <w:rPr>
          <w:rFonts w:ascii="Arial" w:cs="Arial" w:eastAsia="Arial" w:hAnsi="Arial"/>
          <w:color w:val="2D2D2D"/>
          <w:sz w:val="22"/>
          <w:szCs w:val="22"/>
        </w:rPr>
        <w:t xml:space="preserve">The edge types connecting these macro nodes to the corporate graph use transmission ratios drawn from published economic literature rather than from financial filing data, which is a meaningful difference in data sourcing and validation methodology.</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11: Open Research Problems</w:t>
      </w:r>
    </w:p>
    <w:p>
      <w:pPr>
        <w:spacing w:after="120" w:before="60" w:line="320" w:lineRule="auto"/>
        <w:jc w:val="both"/>
      </w:pPr>
      <w:r>
        <w:rPr>
          <w:rFonts w:ascii="Arial" w:cs="Arial" w:eastAsia="Arial" w:hAnsi="Arial"/>
          <w:color w:val="2D2D2D"/>
          <w:sz w:val="22"/>
          <w:szCs w:val="22"/>
        </w:rPr>
        <w:t xml:space="preserve">The empirical work clarified several problems that need doctoral-level research to resolve. Each one below is specific, independently addressable, and points to a genuine gap either in the architecture or in the broader literature.</w:t>
      </w:r>
    </w:p>
    <w:p>
      <w:pPr>
        <w:pStyle w:val="Heading2"/>
        <w:spacing w:after="80" w:before="240"/>
      </w:pPr>
      <w:r>
        <w:rPr>
          <w:rFonts w:ascii="Arial" w:cs="Arial" w:eastAsia="Arial" w:hAnsi="Arial"/>
          <w:b/>
          <w:bCs/>
          <w:color w:val="2D2D2D"/>
          <w:sz w:val="24"/>
          <w:szCs w:val="24"/>
        </w:rPr>
        <w:t xml:space="preserve">11.1 Propagation Topology Classification</w:t>
      </w:r>
    </w:p>
    <w:p>
      <w:pPr>
        <w:spacing w:after="120" w:before="60" w:line="320" w:lineRule="auto"/>
        <w:jc w:val="both"/>
      </w:pPr>
      <w:r>
        <w:rPr>
          <w:rFonts w:ascii="Arial" w:cs="Arial" w:eastAsia="Arial" w:hAnsi="Arial"/>
          <w:color w:val="2D2D2D"/>
          <w:sz w:val="22"/>
          <w:szCs w:val="22"/>
        </w:rPr>
        <w:t xml:space="preserve">How can the system determine at event onset, from the event description alone and before observing any market data, whether an event will produce steep attenuation (terminates at Ring 2) or flat attenuation (propagates materially through Ring 4)?</w:t>
      </w:r>
    </w:p>
    <w:p>
      <w:pPr>
        <w:spacing w:after="120" w:before="60" w:line="320" w:lineRule="auto"/>
        <w:jc w:val="both"/>
      </w:pPr>
      <w:r>
        <w:rPr>
          <w:rFonts w:ascii="Arial" w:cs="Arial" w:eastAsia="Arial" w:hAnsi="Arial"/>
          <w:color w:val="2D2D2D"/>
          <w:sz w:val="22"/>
          <w:szCs w:val="22"/>
        </w:rPr>
        <w:t xml:space="preserve">The Iran war test showed what happens when the wrong topology is assumed. Company-level alpha values applied to a 20% global supply disruption underestimate all downstream effects by a large margin. The topology classification must happen before the graph traversal begins. A binary classifier trained on historical events labeled by their observed attenuation profile would address this, with features like percentage of supply affected, mechanism type, geographic scope, and number of simultaneously implicated sectors.</w:t>
      </w:r>
    </w:p>
    <w:p>
      <w:pPr>
        <w:pStyle w:val="Heading2"/>
        <w:spacing w:after="80" w:before="240"/>
      </w:pPr>
      <w:r>
        <w:rPr>
          <w:rFonts w:ascii="Arial" w:cs="Arial" w:eastAsia="Arial" w:hAnsi="Arial"/>
          <w:b/>
          <w:bCs/>
          <w:color w:val="2D2D2D"/>
          <w:sz w:val="24"/>
          <w:szCs w:val="24"/>
        </w:rPr>
        <w:t xml:space="preserve">11.2 Dual-Nature Event Relationship Merging</w:t>
      </w:r>
    </w:p>
    <w:p>
      <w:pPr>
        <w:spacing w:after="120" w:before="60" w:line="320" w:lineRule="auto"/>
        <w:jc w:val="both"/>
      </w:pPr>
      <w:r>
        <w:rPr>
          <w:rFonts w:ascii="Arial" w:cs="Arial" w:eastAsia="Arial" w:hAnsi="Arial"/>
          <w:color w:val="2D2D2D"/>
          <w:sz w:val="22"/>
          <w:szCs w:val="22"/>
        </w:rPr>
        <w:t xml:space="preserve">When an event spans two classifications, as the Apple M3 event spanned both tech_breakthrough and product_launch, should the system use relationship types from the primary classification only, the secondary only, or the union of both? The current implementation uses primary only. That is a practical decision made during development, not a principled research decision.</w:t>
      </w:r>
    </w:p>
    <w:p>
      <w:pPr>
        <w:spacing w:after="120" w:before="60" w:line="320" w:lineRule="auto"/>
        <w:jc w:val="both"/>
      </w:pPr>
      <w:r>
        <w:rPr>
          <w:rFonts w:ascii="Arial" w:cs="Arial" w:eastAsia="Arial" w:hAnsi="Arial"/>
          <w:color w:val="2D2D2D"/>
          <w:sz w:val="22"/>
          <w:szCs w:val="22"/>
        </w:rPr>
        <w:t xml:space="preserve">What the research question needs is an empirical study measuring whether union, intersection, or primary-only relationship type sets produce better entity recall on a ground truth dataset of dual-nature events. The answer may depend on how semantically distant the two classifications are.</w:t>
      </w:r>
    </w:p>
    <w:p>
      <w:pPr>
        <w:pStyle w:val="Heading2"/>
        <w:spacing w:after="80" w:before="240"/>
      </w:pPr>
      <w:r>
        <w:rPr>
          <w:rFonts w:ascii="Arial" w:cs="Arial" w:eastAsia="Arial" w:hAnsi="Arial"/>
          <w:b/>
          <w:bCs/>
          <w:color w:val="2D2D2D"/>
          <w:sz w:val="24"/>
          <w:szCs w:val="24"/>
        </w:rPr>
        <w:t xml:space="preserve">11.3 Non-Deterministic Segment Discovery</w:t>
      </w:r>
    </w:p>
    <w:p>
      <w:pPr>
        <w:spacing w:after="120" w:before="60" w:line="320" w:lineRule="auto"/>
        <w:jc w:val="both"/>
      </w:pPr>
      <w:r>
        <w:rPr>
          <w:rFonts w:ascii="Arial" w:cs="Arial" w:eastAsia="Arial" w:hAnsi="Arial"/>
          <w:color w:val="2D2D2D"/>
          <w:sz w:val="22"/>
          <w:szCs w:val="22"/>
        </w:rPr>
        <w:t xml:space="preserve">Cross-graph spawning is AFRED's most distinctive capability. It is also the most fragile. At temperature 0.1, segment discovery produces different cross-domain segment sets across independent runs. Without an explicit prompt constraint requiring cross-domain segments, they fail to appear in most runs. With the constraint, results stabilize but the system is relying on a brittle instruction rather than robust reasoning.</w:t>
      </w:r>
    </w:p>
    <w:p>
      <w:pPr>
        <w:spacing w:after="120" w:before="60" w:line="320" w:lineRule="auto"/>
        <w:jc w:val="both"/>
      </w:pPr>
      <w:r>
        <w:rPr>
          <w:rFonts w:ascii="Arial" w:cs="Arial" w:eastAsia="Arial" w:hAnsi="Arial"/>
          <w:color w:val="2D2D2D"/>
          <w:sz w:val="22"/>
          <w:szCs w:val="22"/>
        </w:rPr>
        <w:t xml:space="preserve">The longer-term solution is a GNN that handles traversal deterministically for known cross-domain edges and reserves LLM segment discovery for genuinely novel connections. The research question is how to train the GNN on historical cross-domain propagation events to make it reliable enough to replace the LLM for within-graph traversal.</w:t>
      </w:r>
    </w:p>
    <w:p>
      <w:pPr>
        <w:pStyle w:val="Heading2"/>
        <w:spacing w:after="80" w:before="240"/>
      </w:pPr>
      <w:r>
        <w:rPr>
          <w:rFonts w:ascii="Arial" w:cs="Arial" w:eastAsia="Arial" w:hAnsi="Arial"/>
          <w:b/>
          <w:bCs/>
          <w:color w:val="2D2D2D"/>
          <w:sz w:val="24"/>
          <w:szCs w:val="24"/>
        </w:rPr>
        <w:t xml:space="preserve">11.4 The Sovereign-to-Corporate Bridge</w:t>
      </w:r>
    </w:p>
    <w:p>
      <w:pPr>
        <w:spacing w:after="120" w:before="60" w:line="320" w:lineRule="auto"/>
        <w:jc w:val="both"/>
      </w:pPr>
      <w:r>
        <w:rPr>
          <w:rFonts w:ascii="Arial" w:cs="Arial" w:eastAsia="Arial" w:hAnsi="Arial"/>
          <w:color w:val="2D2D2D"/>
          <w:sz w:val="22"/>
          <w:szCs w:val="22"/>
        </w:rPr>
        <w:t xml:space="preserve">How should AFRED handle events where the source entity is a sovereign nation, a geographic chokepoint, or any non-corporate actor? The current system halts cleanly at this boundary. That is the right behavior for a proof-of-concept but not for a production system.</w:t>
      </w:r>
    </w:p>
    <w:p>
      <w:pPr>
        <w:spacing w:after="120" w:before="60" w:line="320" w:lineRule="auto"/>
        <w:jc w:val="both"/>
      </w:pPr>
      <w:r>
        <w:rPr>
          <w:rFonts w:ascii="Arial" w:cs="Arial" w:eastAsia="Arial" w:hAnsi="Arial"/>
          <w:color w:val="2D2D2D"/>
          <w:sz w:val="22"/>
          <w:szCs w:val="22"/>
        </w:rPr>
        <w:t xml:space="preserve">The pre-built geopolitical energy chain graph (Section 9) handles the specific case of energy supply disruptions. The broader research question is whether a principled methodology exists for constructing this bridge for other geopolitical event types. Trade war tariffs, sanctions, military conflicts outside the energy sector, natural disaster disruptions to agricultural supply chains: each of these requires a different bridge schema. The sovereign-to-corporate bridge formalization is a research contribution that would generalize beyond energy events.</w:t>
      </w:r>
    </w:p>
    <w:p>
      <w:pPr>
        <w:pStyle w:val="Heading2"/>
        <w:spacing w:after="80" w:before="240"/>
      </w:pPr>
      <w:r>
        <w:rPr>
          <w:rFonts w:ascii="Arial" w:cs="Arial" w:eastAsia="Arial" w:hAnsi="Arial"/>
          <w:b/>
          <w:bCs/>
          <w:color w:val="2D2D2D"/>
          <w:sz w:val="24"/>
          <w:szCs w:val="24"/>
        </w:rPr>
        <w:t xml:space="preserve">11.5 Beneficiary Discovery</w:t>
      </w:r>
    </w:p>
    <w:p>
      <w:pPr>
        <w:spacing w:after="120" w:before="60" w:line="320" w:lineRule="auto"/>
        <w:jc w:val="both"/>
      </w:pPr>
      <w:r>
        <w:rPr>
          <w:rFonts w:ascii="Arial" w:cs="Arial" w:eastAsia="Arial" w:hAnsi="Arial"/>
          <w:color w:val="2D2D2D"/>
          <w:sz w:val="22"/>
          <w:szCs w:val="22"/>
        </w:rPr>
        <w:t xml:space="preserve">The current pipeline identifies victims of an event. It does not identify beneficiaries. Every supply disruption creates substitute suppliers who gain demand. Every competitive loss creates competitors who gain share. The market impact picture is systematically incomplete without the beneficiary chain.</w:t>
      </w:r>
    </w:p>
    <w:p>
      <w:pPr>
        <w:spacing w:after="120" w:before="60" w:line="320" w:lineRule="auto"/>
        <w:jc w:val="both"/>
      </w:pPr>
      <w:r>
        <w:rPr>
          <w:rFonts w:ascii="Arial" w:cs="Arial" w:eastAsia="Arial" w:hAnsi="Arial"/>
          <w:color w:val="2D2D2D"/>
          <w:sz w:val="22"/>
          <w:szCs w:val="22"/>
        </w:rPr>
        <w:t xml:space="preserve">Adding a substitute_supplier relationship type with positive alpha values is architecturally straightforward. The harder research question is how to systematically populate this relationship type in the knowledge graph: who are the substitutes for Middle East LNG in Asian markets, and with what latency and capacity constraints? That requires data sources and validation methodology not yet in the AFRED infrastructure.</w:t>
      </w:r>
    </w:p>
    <w:p>
      <w:pPr>
        <w:pStyle w:val="Heading2"/>
        <w:spacing w:after="80" w:before="240"/>
      </w:pPr>
      <w:r>
        <w:rPr>
          <w:rFonts w:ascii="Arial" w:cs="Arial" w:eastAsia="Arial" w:hAnsi="Arial"/>
          <w:b/>
          <w:bCs/>
          <w:color w:val="2D2D2D"/>
          <w:sz w:val="24"/>
          <w:szCs w:val="24"/>
        </w:rPr>
        <w:t xml:space="preserve">11.6 Duration Estimation for Geopolitical Events</w:t>
      </w:r>
    </w:p>
    <w:p>
      <w:pPr>
        <w:spacing w:after="120" w:before="60" w:line="320" w:lineRule="auto"/>
        <w:jc w:val="both"/>
      </w:pPr>
      <w:r>
        <w:rPr>
          <w:rFonts w:ascii="Arial" w:cs="Arial" w:eastAsia="Arial" w:hAnsi="Arial"/>
          <w:color w:val="2D2D2D"/>
          <w:sz w:val="22"/>
          <w:szCs w:val="22"/>
        </w:rPr>
        <w:t xml:space="preserve">Duration is the single most important variable for predicting whether a geopolitical disruption activates Ring 3 and beyond. It is also the hardest to estimate at event onset. The 2021 Suez blockage lasted 6 days. The 1979 Iranian Revolution disruption lasted 18 months. From the event description alone on day one, how do you estimate which you are dealing with?</w:t>
      </w:r>
    </w:p>
    <w:p>
      <w:pPr>
        <w:spacing w:after="120" w:before="60" w:line="320" w:lineRule="auto"/>
        <w:jc w:val="both"/>
      </w:pPr>
      <w:r>
        <w:rPr>
          <w:rFonts w:ascii="Arial" w:cs="Arial" w:eastAsia="Arial" w:hAnsi="Arial"/>
          <w:color w:val="2D2D2D"/>
          <w:sz w:val="22"/>
          <w:szCs w:val="22"/>
        </w:rPr>
        <w:t xml:space="preserve">Features that carry duration information include the negotiation posture of involved parties, the severity and geographic scope of military action, oil futures curve shape (which encodes market duration expectations), international diplomatic response, and historical analogs from comparable conflict types. Building a duration probability distribution estimator is a research subproblem that may be publishable independently.</w:t>
      </w:r>
    </w:p>
    <w:p>
      <w:pPr>
        <w:pStyle w:val="Heading2"/>
        <w:spacing w:after="80" w:before="240"/>
      </w:pPr>
      <w:r>
        <w:rPr>
          <w:rFonts w:ascii="Arial" w:cs="Arial" w:eastAsia="Arial" w:hAnsi="Arial"/>
          <w:b/>
          <w:bCs/>
          <w:color w:val="2D2D2D"/>
          <w:sz w:val="24"/>
          <w:szCs w:val="24"/>
        </w:rPr>
        <w:t xml:space="preserve">11.7 Threshold Fragility and Confidence Representation</w:t>
      </w:r>
    </w:p>
    <w:p>
      <w:pPr>
        <w:spacing w:after="120" w:before="60" w:line="320" w:lineRule="auto"/>
        <w:jc w:val="both"/>
      </w:pPr>
      <w:r>
        <w:rPr>
          <w:rFonts w:ascii="Arial" w:cs="Arial" w:eastAsia="Arial" w:hAnsi="Arial"/>
          <w:color w:val="2D2D2D"/>
          <w:sz w:val="22"/>
          <w:szCs w:val="22"/>
        </w:rPr>
        <w:t xml:space="preserve">AFRED currently makes hard binary decisions at several points: the confidence threshold at 0.85, the materiality threshold at 0.05, the SPAWN versus CONTINUE classification. Entities near these thresholds are disproportionately sensitive to small parameter changes. This is the same mathematical property as the Bayesian tail: near a threshold in a thin-tailed distribution, small perturbations produce large proportional changes in outcomes.</w:t>
      </w:r>
    </w:p>
    <w:p>
      <w:pPr>
        <w:spacing w:after="120" w:before="60" w:line="320" w:lineRule="auto"/>
        <w:jc w:val="both"/>
      </w:pPr>
      <w:r>
        <w:rPr>
          <w:rFonts w:ascii="Arial" w:cs="Arial" w:eastAsia="Arial" w:hAnsi="Arial"/>
          <w:color w:val="2D2D2D"/>
          <w:sz w:val="22"/>
          <w:szCs w:val="22"/>
        </w:rPr>
        <w:t xml:space="preserve">The research direction here is replacing hard binary decisions with probability distributions over inclusion. An entity with magnitude 0.048 should not be treated identically to one with magnitude 0.002. Both are below the threshold, but one is much closer to materiality. The GNN policy is the natural mechanism for this because a trained policy outputs scores rather than binary decisions.</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12: Evaluation Framework</w:t>
      </w:r>
    </w:p>
    <w:p>
      <w:pPr>
        <w:spacing w:after="120" w:before="60" w:line="320" w:lineRule="auto"/>
        <w:jc w:val="both"/>
      </w:pPr>
      <w:r>
        <w:rPr>
          <w:rFonts w:ascii="Arial" w:cs="Arial" w:eastAsia="Arial" w:hAnsi="Arial"/>
          <w:color w:val="2D2D2D"/>
          <w:sz w:val="22"/>
          <w:szCs w:val="22"/>
        </w:rPr>
        <w:t xml:space="preserve">One thing that became clear in reviewing the adjacent literature is that there is no standardized benchmark for evaluating autonomous entity discovery from financial events. Every existing system is evaluated on tasks where the target entities are given. The evaluation infrastructure for a discovery-first system has to be built from scratch.</w:t>
      </w:r>
    </w:p>
    <w:p>
      <w:pPr>
        <w:pStyle w:val="Heading2"/>
        <w:spacing w:after="80" w:before="240"/>
      </w:pPr>
      <w:r>
        <w:rPr>
          <w:rFonts w:ascii="Arial" w:cs="Arial" w:eastAsia="Arial" w:hAnsi="Arial"/>
          <w:b/>
          <w:bCs/>
          <w:color w:val="2D2D2D"/>
          <w:sz w:val="24"/>
          <w:szCs w:val="24"/>
        </w:rPr>
        <w:t xml:space="preserve">12.1 Ground Truth Construction</w:t>
      </w:r>
    </w:p>
    <w:p>
      <w:pPr>
        <w:spacing w:after="120" w:before="60" w:line="320" w:lineRule="auto"/>
        <w:jc w:val="both"/>
      </w:pPr>
      <w:r>
        <w:rPr>
          <w:rFonts w:ascii="Arial" w:cs="Arial" w:eastAsia="Arial" w:hAnsi="Arial"/>
          <w:color w:val="2D2D2D"/>
          <w:sz w:val="22"/>
          <w:szCs w:val="22"/>
        </w:rPr>
        <w:t xml:space="preserve">The benchmark will use a retrospective approach: take a historical financial event, use market data to identify which secondary companies experienced statistically significant abnormal returns in the days following the news, and verify the documented mechanisms that drove those movements. Aggregating 200 to 500 events from the past three to five years would produce a dataset with enough coverage to evaluate across event types, ring depths, and cross-sector scenarios.</w:t>
      </w:r>
    </w:p>
    <w:p>
      <w:pPr>
        <w:spacing w:after="120" w:before="60" w:line="320" w:lineRule="auto"/>
        <w:jc w:val="both"/>
      </w:pPr>
      <w:r>
        <w:rPr>
          <w:rFonts w:ascii="Arial" w:cs="Arial" w:eastAsia="Arial" w:hAnsi="Arial"/>
          <w:color w:val="2D2D2D"/>
          <w:sz w:val="22"/>
          <w:szCs w:val="22"/>
        </w:rPr>
        <w:t xml:space="preserve">The methodological challenge is attribution ambiguity. When a company's stock moves in the days after an event, determining whether that movement is caused by the event being studied or by concurrent unrelated news requires careful design of inter-annotator protocols and clear attribution rules. This is non-trivial and is itself a research contribution.</w:t>
      </w:r>
    </w:p>
    <w:p>
      <w:pPr>
        <w:pStyle w:val="Heading2"/>
        <w:spacing w:after="80" w:before="240"/>
      </w:pPr>
      <w:r>
        <w:rPr>
          <w:rFonts w:ascii="Arial" w:cs="Arial" w:eastAsia="Arial" w:hAnsi="Arial"/>
          <w:b/>
          <w:bCs/>
          <w:color w:val="2D2D2D"/>
          <w:sz w:val="24"/>
          <w:szCs w:val="24"/>
        </w:rPr>
        <w:t xml:space="preserve">12.2 Empirical Baselines from Prototype Testing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Metric</w:t>
            </w:r>
          </w:p>
        </w:tc>
        <w:tc>
          <w:tcPr>
            <w:tcW w:type="dxa" w:w="36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Empirical Baseline</w:t>
            </w:r>
          </w:p>
        </w:tc>
        <w:tc>
          <w:tcPr>
            <w:tcW w:type="dxa" w:w="33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Test Event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Pipeline latency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Under 45 seconds including API calls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Apple M3 full pipeline</w:t>
            </w:r>
          </w:p>
        </w:tc>
      </w:tr>
      <w:tr>
        <w:tc>
          <w:tcPr>
            <w:tcW w:type="dxa" w:w="24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Ring 0 entity recall</w:t>
            </w:r>
          </w:p>
        </w:tc>
        <w:tc>
          <w:tcPr>
            <w:tcW w:type="dxa" w:w="3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4 of 5 candidates included (80%)</w:t>
            </w:r>
          </w:p>
        </w:tc>
        <w:tc>
          <w:tcPr>
            <w:tcW w:type="dxa" w:w="33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TSMC, Intel, Qualcomm, ARM included; Samsung excluded below threshold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Direction accuracy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4 of 4 Ring 0 entities correctly signed (100%)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TSMC and ARM positive, Intel and Qualcomm negative</w:t>
            </w:r>
          </w:p>
        </w:tc>
      </w:tr>
      <w:tr>
        <w:tc>
          <w:tcPr>
            <w:tcW w:type="dxa" w:w="24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Cross-graph spawn</w:t>
            </w:r>
          </w:p>
        </w:tc>
        <w:tc>
          <w:tcPr>
            <w:tcW w:type="dxa" w:w="3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1 spawn correctly triggered</w:t>
            </w:r>
          </w:p>
        </w:tc>
        <w:tc>
          <w:tcPr>
            <w:tcW w:type="dxa" w:w="33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Cloud infrastructure graph activated from semiconductor graph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Novel entity discovery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3 entities discovered not in original event text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AWS, Azure, Google Cloud identified as downstream affected entities</w:t>
            </w:r>
          </w:p>
        </w:tc>
      </w:tr>
      <w:tr>
        <w:tc>
          <w:tcPr>
            <w:tcW w:type="dxa" w:w="24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Pipeline halt on unknown event</w:t>
            </w:r>
          </w:p>
        </w:tc>
        <w:tc>
          <w:tcPr>
            <w:tcW w:type="dxa" w:w="3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Correct structured halt with diagnostic output</w:t>
            </w:r>
          </w:p>
        </w:tc>
        <w:tc>
          <w:tcPr>
            <w:tcW w:type="dxa" w:w="33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Iran war correctly triggered halt and preserved sub-entity extraction</w:t>
            </w:r>
          </w:p>
        </w:tc>
      </w:tr>
    </w:tbl>
    <w:p>
      <w:pPr>
        <w:spacing w:after="120" w:before="120"/>
      </w:pPr>
    </w:p>
    <w:p>
      <w:pPr>
        <w:pStyle w:val="Heading2"/>
        <w:spacing w:after="80" w:before="240"/>
      </w:pPr>
      <w:r>
        <w:rPr>
          <w:rFonts w:ascii="Arial" w:cs="Arial" w:eastAsia="Arial" w:hAnsi="Arial"/>
          <w:b/>
          <w:bCs/>
          <w:color w:val="2D2D2D"/>
          <w:sz w:val="24"/>
          <w:szCs w:val="24"/>
        </w:rPr>
        <w:t xml:space="preserve">12.3 Proposed Metrics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Metric</w:t>
            </w:r>
          </w:p>
        </w:tc>
        <w:tc>
          <w:tcPr>
            <w:tcW w:type="dxa" w:w="28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What It Measures</w:t>
            </w:r>
          </w:p>
        </w:tc>
        <w:tc>
          <w:tcPr>
            <w:tcW w:type="dxa" w:w="45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Entity Recall@K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Of entities showing greater than 1% abnormal returns after the event, what fraction did the system identify in its top K predictions?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Above 70% Recall@10 for Ring 1 entities</w:t>
            </w:r>
          </w:p>
        </w:tc>
      </w:tr>
      <w:tr>
        <w:tc>
          <w:tcPr>
            <w:tcW w:type="dxa" w:w="2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Entity Precision@K</w:t>
            </w:r>
          </w:p>
        </w:tc>
        <w:tc>
          <w:tcPr>
            <w:tcW w:type="dxa" w:w="2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Of the K entities the system flagged, what fraction showed statistically significant abnormal returns in historical data?</w:t>
            </w:r>
          </w:p>
        </w:tc>
        <w:tc>
          <w:tcPr>
            <w:tcW w:type="dxa" w:w="45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Above 60% Precision@10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Direction Accuracy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For correctly identified entities, did the system predict the right price direction?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Above 80% for Ring 1 predictions</w:t>
            </w:r>
          </w:p>
        </w:tc>
      </w:tr>
      <w:tr>
        <w:tc>
          <w:tcPr>
            <w:tcW w:type="dxa" w:w="2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Mechanism Validity</w:t>
            </w:r>
          </w:p>
        </w:tc>
        <w:tc>
          <w:tcPr>
            <w:tcW w:type="dxa" w:w="2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Are the causal pathways generated logically sound and financially coherent by domain expert review?</w:t>
            </w:r>
          </w:p>
        </w:tc>
        <w:tc>
          <w:tcPr>
            <w:tcW w:type="dxa" w:w="45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Above 75% rated valid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Magnitude Correlation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Spearman rank correlation between predicted impact severity and actual measured price movement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Spearman rho above 0.50 for Ring 1</w:t>
            </w:r>
          </w:p>
        </w:tc>
      </w:tr>
      <w:tr>
        <w:tc>
          <w:tcPr>
            <w:tcW w:type="dxa" w:w="2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Attenuation Calibration</w:t>
            </w:r>
          </w:p>
        </w:tc>
        <w:tc>
          <w:tcPr>
            <w:tcW w:type="dxa" w:w="2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Does the system assign lower confidence to Ring 2 entities than Ring 1, and is this monotonic across rings?</w:t>
            </w:r>
          </w:p>
        </w:tc>
        <w:tc>
          <w:tcPr>
            <w:tcW w:type="dxa" w:w="45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Monotonically decreasing mean confidence by ring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Pipeline Latency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Total time from event ingestion to complete output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Under 60 seconds</w:t>
            </w:r>
          </w:p>
        </w:tc>
      </w:tr>
      <w:tr>
        <w:tc>
          <w:tcPr>
            <w:tcW w:type="dxa" w:w="20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Novel Entity Discovery</w:t>
            </w:r>
          </w:p>
        </w:tc>
        <w:tc>
          <w:tcPr>
            <w:tcW w:type="dxa" w:w="28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Frequency of entities the system flagged that human analysts initially missed but that showed measurable abnormal returns</w:t>
            </w:r>
          </w:p>
        </w:tc>
        <w:tc>
          <w:tcPr>
            <w:tcW w:type="dxa" w:w="45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At least 3 to 5 novel entities per event on average</w:t>
            </w:r>
          </w:p>
        </w:tc>
      </w:tr>
    </w:tbl>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13: Expected Academic Contributions</w:t>
      </w:r>
    </w:p>
    <w:p>
      <w:pPr>
        <w:spacing w:after="120" w:before="60" w:line="320" w:lineRule="auto"/>
        <w:jc w:val="both"/>
      </w:pPr>
      <w:r>
        <w:rPr>
          <w:rFonts w:ascii="Arial" w:cs="Arial" w:eastAsia="Arial" w:hAnsi="Arial"/>
          <w:color w:val="2D2D2D"/>
          <w:sz w:val="22"/>
          <w:szCs w:val="22"/>
        </w:rPr>
        <w:t xml:space="preserve">Each component of the AFRED research program is designed to be independently publishable. The architecture is modular enough that individual contributions do not depend on the full system being complete to be meaningful.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Contribution</w:t>
            </w:r>
          </w:p>
        </w:tc>
        <w:tc>
          <w:tcPr>
            <w:tcW w:type="dxa" w:w="25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What It Produces</w:t>
            </w:r>
          </w:p>
        </w:tc>
        <w:tc>
          <w:tcPr>
            <w:tcW w:type="dxa" w:w="2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Target Venue</w:t>
            </w:r>
          </w:p>
        </w:tc>
        <w:tc>
          <w:tcPr>
            <w:tcW w:type="dxa" w:w="24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Problem Formalization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Formal definition of the AFRED task including the concentric ring model, three-tier event classification framework, entity-mechanism-direction-magnitude output specification, and theoretical positioning relative to adjacent work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ICAIF, AAAI-FinAI</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Prototype validates the formalization</w:t>
            </w:r>
          </w:p>
        </w:tc>
      </w:tr>
      <w:tr>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Dynamic Financial Knowledge Graph</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Continuously updated KG extracting corporate relationships from SEC filings and earnings transcripts, plus the pre-built geopolitical energy chain graph with quantified edge weights from historical events</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KDD, EMNLP</w:t>
            </w:r>
          </w:p>
        </w:tc>
        <w:tc>
          <w:tcPr>
            <w:tcW w:type="dxa" w:w="24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Year 1 infrastructure priority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Multi-Agent Ripple Discovery Architecture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Core five-agent pipeline, hybrid graph-LLM discovery mechanism, dynamic state builder, propagation topology classifier, confidence calibration methodology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NeurIPS, ICML, AAAI</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Proof-of-concept complete; full system is Year 2 work</w:t>
            </w:r>
          </w:p>
        </w:tc>
      </w:tr>
      <w:tr>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Evaluation Benchmark</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First standardized ground truth dataset for cross-entity financial event impact assessment, with metrics framework for discovery completeness, causal accuracy, and magnitude calibration</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ACL, NeurIPS Datasets and Benchmarks</w:t>
            </w:r>
          </w:p>
        </w:tc>
        <w:tc>
          <w:tcPr>
            <w:tcW w:type="dxa" w:w="24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Year 1 priority; not yet constructed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Empirical LLM Analysis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Systematic documentation of LLM capabilities and failure modes for entity discovery and causal financial reasoning, including the framing sensitivity finding and non-determinism characterization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EMNLP, ACL Findings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Partially complete from prototype work</w:t>
            </w:r>
          </w:p>
        </w:tc>
      </w:tr>
      <w:tr>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Geopolitical Energy Ripple Chain</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ML cascade model trained on six historical supply disruptions, with ring-specific confidence quantification and duration as primary predictive variable</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Journal of Financial Economics, Review of Financial Studies</w:t>
            </w:r>
          </w:p>
        </w:tc>
        <w:tc>
          <w:tcPr>
            <w:tcW w:type="dxa" w:w="24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Saved for future development; reference documented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Macroeconomic and Consumer Impact Extension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Architecture connecting corporate ripple analysis to CPI transmission, Fed policy response, and consumer welfare outcomes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Journal of Finance, IMF Economic Review</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Architecture designed; implementation is future work</w:t>
            </w:r>
          </w:p>
        </w:tc>
      </w:tr>
      <w:tr>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Sovereign-to-Corporate Bridge Graph</w:t>
            </w:r>
          </w:p>
        </w:tc>
        <w:tc>
          <w:tcPr>
            <w:tcW w:type="dxa" w:w="25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Novel graph schema and construction methodology connecting sovereign actors and geographic chokepoints to corporate supply chains with quantified edge weights</w:t>
            </w:r>
          </w:p>
        </w:tc>
        <w:tc>
          <w:tcPr>
            <w:tcW w:type="dxa" w:w="2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KDD, ACL</w:t>
            </w:r>
          </w:p>
        </w:tc>
        <w:tc>
          <w:tcPr>
            <w:tcW w:type="dxa" w:w="24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Research problem formalized; construction requires historical trade flow data</w:t>
            </w:r>
          </w:p>
        </w:tc>
      </w:tr>
    </w:tbl>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Section 14: Research Timeline and Conclusion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2960"/>
      </w:tblGrid>
      <w:tr>
        <w:trPr>
          <w:tblHeader/>
        </w:trPr>
        <w:tc>
          <w:tcPr>
            <w:tcW w:type="dxa" w:w="16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Phase</w:t>
            </w:r>
          </w:p>
        </w:tc>
        <w:tc>
          <w:tcPr>
            <w:tcW w:type="dxa" w:w="16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Period</w:t>
            </w:r>
          </w:p>
        </w:tc>
        <w:tc>
          <w:tcPr>
            <w:tcW w:type="dxa" w:w="320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Activities</w:t>
            </w:r>
          </w:p>
        </w:tc>
        <w:tc>
          <w:tcPr>
            <w:tcW w:type="dxa" w:w="2960"/>
            <w:tcBorders>
              <w:top w:val="single" w:color="7A1A29" w:sz="1"/>
              <w:left w:val="single" w:color="7A1A29" w:sz="1"/>
              <w:bottom w:val="single" w:color="7A1A29" w:sz="1"/>
              <w:right w:val="single" w:color="7A1A29" w:sz="1"/>
            </w:tcBorders>
            <w:shd w:fill="9D2235"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FFFFFF"/>
                <w:sz w:val="18"/>
                <w:szCs w:val="18"/>
              </w:rPr>
              <w:t xml:space="preserve">Deliverables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Foundation Year 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Semesters 1-2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Systematic literature review. Build dynamic financial KG from SEC filings. Construct evaluation benchmark from 200 to 500 historical events. Build geopolitical energy chain graph from six historical events with quantified edge weights. Design and train propagation topology classifier.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Survey paper. Working KG infrastructure. Annotated benchmark dataset. Geopolitical chain graph.</w:t>
            </w:r>
          </w:p>
        </w:tc>
      </w:tr>
      <w:tr>
        <w:tc>
          <w:tcPr>
            <w:tcW w:type="dxa" w:w="1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Core System Year 2</w:t>
            </w:r>
          </w:p>
        </w:tc>
        <w:tc>
          <w:tcPr>
            <w:tcW w:type="dxa" w:w="1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Semesters 3-4</w:t>
            </w:r>
          </w:p>
        </w:tc>
        <w:tc>
          <w:tcPr>
            <w:tcW w:type="dxa" w:w="3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Implement full five-agent pipeline with GNN policy replacing threshold policy. Implement propagation topology classifier. Run initial benchmark evaluation. Build sovereign-to-corporate bridge for Tier 2 events. Add beneficiary discovery.</w:t>
            </w:r>
          </w:p>
        </w:tc>
        <w:tc>
          <w:tcPr>
            <w:tcW w:type="dxa" w:w="29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System paper submitted to NeurIPS, ICML, or AAAI. Working prototype with public API. Tier 2 event handling demonstrated.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Extension Year 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Semester 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Build macroeconomic and consumer impact layer. Implement confidence calibration with historical validation. Run ablation studies. Human analyst comparison study.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Empirical evaluation paper. Macro impact layer demonstrated on geopolitical case study.</w:t>
            </w:r>
          </w:p>
        </w:tc>
      </w:tr>
      <w:tr>
        <w:tc>
          <w:tcPr>
            <w:tcW w:type="dxa" w:w="1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Defense Year 3-4</w:t>
            </w:r>
          </w:p>
        </w:tc>
        <w:tc>
          <w:tcPr>
            <w:tcW w:type="dxa" w:w="16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Semesters 6+</w:t>
            </w:r>
          </w:p>
        </w:tc>
        <w:tc>
          <w:tcPr>
            <w:tcW w:type="dxa" w:w="320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Dissertation writing. Final experiments. Industry partnership for real-world validation. Open-source release of system and benchmark. Geopolitical ripple chain paper submission.</w:t>
            </w:r>
          </w:p>
        </w:tc>
        <w:tc>
          <w:tcPr>
            <w:tcW w:type="dxa" w:w="2960"/>
            <w:tcBorders>
              <w:top w:val="single" w:color="CCCCCC" w:sz="1"/>
              <w:left w:val="single" w:color="CCCCCC" w:sz="1"/>
              <w:bottom w:val="single" w:color="CCCCCC" w:sz="1"/>
              <w:right w:val="single" w:color="CCCCCC" w:sz="1"/>
            </w:tcBorders>
            <w:shd w:fill="FAF0F1" w:val="clear"/>
            <w:tcMar>
              <w:top w:type="dxa" w:w="100"/>
              <w:left w:type="dxa" w:w="140"/>
              <w:bottom w:type="dxa" w:w="100"/>
              <w:right w:type="dxa" w:w="140"/>
            </w:tcMar>
            <w:vAlign w:val="center"/>
          </w:tcPr>
          <w:p>
            <w:pPr>
              <w:spacing w:after="0" w:before="0" w:line="280" w:lineRule="auto"/>
              <w:jc w:val="left"/>
            </w:pPr>
            <w:r>
              <w:rPr>
                <w:rFonts w:ascii="Arial" w:cs="Arial" w:eastAsia="Arial" w:hAnsi="Arial"/>
                <w:color w:val="2D2D2D"/>
                <w:sz w:val="18"/>
                <w:szCs w:val="18"/>
              </w:rPr>
              <w:t xml:space="preserve">PhD dissertation. 4 to 6 published papers. Open-source repository. Industry validation report.</w:t>
            </w:r>
          </w:p>
        </w:tc>
      </w:tr>
    </w:tbl>
    <w:p>
      <w:pPr>
        <w:spacing w:after="160" w:before="160"/>
      </w:pPr>
    </w:p>
    <w:p>
      <w:pPr>
        <w:pStyle w:val="Heading2"/>
        <w:spacing w:after="80" w:before="240"/>
      </w:pPr>
      <w:r>
        <w:rPr>
          <w:rFonts w:ascii="Arial" w:cs="Arial" w:eastAsia="Arial" w:hAnsi="Arial"/>
          <w:b/>
          <w:bCs/>
          <w:color w:val="2D2D2D"/>
          <w:sz w:val="24"/>
          <w:szCs w:val="24"/>
        </w:rPr>
        <w:t xml:space="preserve">14.1 Conclusion</w:t>
      </w:r>
    </w:p>
    <w:p>
      <w:pPr>
        <w:spacing w:after="120" w:before="60" w:line="320" w:lineRule="auto"/>
        <w:jc w:val="both"/>
      </w:pPr>
      <w:r>
        <w:rPr>
          <w:rFonts w:ascii="Arial" w:cs="Arial" w:eastAsia="Arial" w:hAnsi="Arial"/>
          <w:color w:val="2D2D2D"/>
          <w:sz w:val="22"/>
          <w:szCs w:val="22"/>
        </w:rPr>
        <w:t xml:space="preserve">AFRED addresses a gap in computational finance that existing systems leave untouched: the question of which entities to look at in the first place. Every current AI-driven financial tool requires a human to specify the company list before the analysis begins. AFRED makes entity discovery the primary output.</w:t>
      </w:r>
    </w:p>
    <w:p>
      <w:pPr>
        <w:spacing w:after="120" w:before="60" w:line="320" w:lineRule="auto"/>
        <w:jc w:val="both"/>
      </w:pPr>
      <w:r>
        <w:rPr>
          <w:rFonts w:ascii="Arial" w:cs="Arial" w:eastAsia="Arial" w:hAnsi="Arial"/>
          <w:color w:val="2D2D2D"/>
          <w:sz w:val="22"/>
          <w:szCs w:val="22"/>
        </w:rPr>
        <w:t xml:space="preserve">A proof-of-concept pipeline has been built, tested, and precisely characterized. The Apple M3 event was traced end-to-end from raw headline to seven affected entities across two knowledge graphs, with correct signed magnitudes, cross-graph spawning, and no hardcoded values. The Iran war event correctly halted at the knowledge graph boundary with a structured diagnostic that pointed precisely to the architectural extension needed.</w:t>
      </w:r>
    </w:p>
    <w:p>
      <w:pPr>
        <w:spacing w:after="120" w:before="60" w:line="320" w:lineRule="auto"/>
        <w:jc w:val="both"/>
      </w:pPr>
      <w:r>
        <w:rPr>
          <w:rFonts w:ascii="Arial" w:cs="Arial" w:eastAsia="Arial" w:hAnsi="Arial"/>
          <w:color w:val="2D2D2D"/>
          <w:sz w:val="22"/>
          <w:szCs w:val="22"/>
        </w:rPr>
        <w:t xml:space="preserve">The research that remains is clear and bounded. Build the GNN policy to replace the threshold decisions. Construct the evaluation benchmark. Formalize the sovereign-to-corporate bridge. Add the macroeconomic transmission layer. Train the propagation topology classifier. Implement beneficiary discovery. Each of these is a specific, independently publishable contribution. Together they constitute a doctoral program that sits at a productive intersection of natural language processing, graph representation, and empirical finance.</w:t>
      </w:r>
    </w:p>
    <w:p>
      <w:pPr>
        <w:pBdr>
          <w:top w:val="single" w:color="9D2235" w:sz="4" w:space="6"/>
          <w:bottom w:val="single" w:color="9D2235" w:sz="4" w:space="6"/>
          <w:left w:val="none"/>
          <w:right w:val="none"/>
        </w:pBdr>
        <w:spacing w:after="120" w:before="160" w:line="320" w:lineRule="auto"/>
        <w:jc w:val="both"/>
      </w:pPr>
      <w:r>
        <w:rPr>
          <w:rFonts w:ascii="Arial" w:cs="Arial" w:eastAsia="Arial" w:hAnsi="Arial"/>
          <w:b/>
          <w:bCs/>
          <w:i/>
          <w:iCs/>
          <w:color w:val="9D2235"/>
          <w:sz w:val="22"/>
          <w:szCs w:val="22"/>
        </w:rPr>
        <w:t xml:space="preserve">The clearest argument for why this is a good PhD problem is that the system has been partially built and the failures are precise. It is not a theoretical proposal about something that might work. It is a working proof-of-concept that knows exactly what it cannot do yet, and why.</w:t>
      </w:r>
    </w:p>
    <w:p>
      <w:r>
        <w:br w:type="page"/>
      </w:r>
    </w:p>
    <w:p>
      <w:pPr>
        <w:pStyle w:val="Heading1"/>
        <w:pBdr>
          <w:bottom w:val="single" w:color="9D2235" w:sz="4" w:space="4"/>
        </w:pBdr>
        <w:spacing w:after="120" w:before="360"/>
      </w:pPr>
      <w:r>
        <w:rPr>
          <w:rFonts w:ascii="Arial" w:cs="Arial" w:eastAsia="Arial" w:hAnsi="Arial"/>
          <w:b/>
          <w:bCs/>
          <w:color w:val="9D2235"/>
          <w:sz w:val="28"/>
          <w:szCs w:val="28"/>
        </w:rPr>
        <w:t xml:space="preserve">References</w:t>
      </w:r>
    </w:p>
    <w:p>
      <w:pPr>
        <w:spacing w:after="60" w:before="60" w:line="300" w:lineRule="auto"/>
        <w:ind w:left="720" w:hanging="720"/>
      </w:pPr>
      <w:r>
        <w:rPr>
          <w:rFonts w:ascii="Arial" w:cs="Arial" w:eastAsia="Arial" w:hAnsi="Arial"/>
          <w:color w:val="2D2D2D"/>
          <w:sz w:val="20"/>
          <w:szCs w:val="20"/>
        </w:rPr>
        <w:t xml:space="preserve">[1] Yu, Y., et al. (2024). FinCon: A Synthesized LLM Multi-Agent System with Conceptual Verbal Reinforcement. Advances in Neural Information Processing Systems (NeurIPS 2024). arXiv:2407.06567.</w:t>
      </w:r>
    </w:p>
    <w:p>
      <w:pPr>
        <w:spacing w:after="60" w:before="60" w:line="300" w:lineRule="auto"/>
        <w:ind w:left="720" w:hanging="720"/>
      </w:pPr>
      <w:r>
        <w:rPr>
          <w:rFonts w:ascii="Arial" w:cs="Arial" w:eastAsia="Arial" w:hAnsi="Arial"/>
          <w:color w:val="2D2D2D"/>
          <w:sz w:val="20"/>
          <w:szCs w:val="20"/>
        </w:rPr>
        <w:t xml:space="preserve">[2] Xiao, Y., et al. (2024). TradingAgents: Multi-Agent LLM Financial Trading Framework. arXiv:2412.20138.</w:t>
      </w:r>
    </w:p>
    <w:p>
      <w:pPr>
        <w:spacing w:after="60" w:before="60" w:line="300" w:lineRule="auto"/>
        <w:ind w:left="720" w:hanging="720"/>
      </w:pPr>
      <w:r>
        <w:rPr>
          <w:rFonts w:ascii="Arial" w:cs="Arial" w:eastAsia="Arial" w:hAnsi="Arial"/>
          <w:color w:val="2D2D2D"/>
          <w:sz w:val="20"/>
          <w:szCs w:val="20"/>
        </w:rPr>
        <w:t xml:space="preserve">[3] Fatouros, G., et al. (2025). MarketSenseAI 2.0: Enhancing Stock Analysis through LLM Agents. arXiv:2502.00415.</w:t>
      </w:r>
    </w:p>
    <w:p>
      <w:pPr>
        <w:spacing w:after="60" w:before="60" w:line="300" w:lineRule="auto"/>
        <w:ind w:left="720" w:hanging="720"/>
      </w:pPr>
      <w:r>
        <w:rPr>
          <w:rFonts w:ascii="Arial" w:cs="Arial" w:eastAsia="Arial" w:hAnsi="Arial"/>
          <w:color w:val="2D2D2D"/>
          <w:sz w:val="20"/>
          <w:szCs w:val="20"/>
        </w:rPr>
        <w:t xml:space="preserve">[4] Xu, Y., et al. (2025). FinRipple: Aligning Large Language Models with Financial Market for Event Ripple Effect Awareness. Findings of ACL 2025, pp. 9377-9398.</w:t>
      </w:r>
    </w:p>
    <w:p>
      <w:pPr>
        <w:spacing w:after="60" w:before="60" w:line="300" w:lineRule="auto"/>
        <w:ind w:left="720" w:hanging="720"/>
      </w:pPr>
      <w:r>
        <w:rPr>
          <w:rFonts w:ascii="Arial" w:cs="Arial" w:eastAsia="Arial" w:hAnsi="Arial"/>
          <w:color w:val="2D2D2D"/>
          <w:sz w:val="20"/>
          <w:szCs w:val="20"/>
        </w:rPr>
        <w:t xml:space="preserve">[5] Lee, C., et al. (2026). Knowledge Graph Construction for Stock Markets with LLM-Based Explainable Reasoning. arXiv:2601.11528.</w:t>
      </w:r>
    </w:p>
    <w:p>
      <w:pPr>
        <w:spacing w:after="60" w:before="60" w:line="300" w:lineRule="auto"/>
        <w:ind w:left="720" w:hanging="720"/>
      </w:pPr>
      <w:r>
        <w:rPr>
          <w:rFonts w:ascii="Arial" w:cs="Arial" w:eastAsia="Arial" w:hAnsi="Arial"/>
          <w:color w:val="2D2D2D"/>
          <w:sz w:val="20"/>
          <w:szCs w:val="20"/>
        </w:rPr>
        <w:t xml:space="preserve">[6] AlMahri, S., Xu, L., and Brintrup, A. (2024). Enhancing Supply Chain Visibility with Knowledge Graphs and Large Language Models. arXiv:2408.07705.</w:t>
      </w:r>
    </w:p>
    <w:p>
      <w:pPr>
        <w:spacing w:after="60" w:before="60" w:line="300" w:lineRule="auto"/>
        <w:ind w:left="720" w:hanging="720"/>
      </w:pPr>
      <w:r>
        <w:rPr>
          <w:rFonts w:ascii="Arial" w:cs="Arial" w:eastAsia="Arial" w:hAnsi="Arial"/>
          <w:color w:val="2D2D2D"/>
          <w:sz w:val="20"/>
          <w:szCs w:val="20"/>
        </w:rPr>
        <w:t xml:space="preserve">[7] Poli, F., and Caporin, M. (2024). Cross-Company Jump Spillover and the Role of News. Heliyon, 10(14), e34440.</w:t>
      </w:r>
    </w:p>
    <w:p>
      <w:pPr>
        <w:spacing w:after="60" w:before="60" w:line="300" w:lineRule="auto"/>
        <w:ind w:left="720" w:hanging="720"/>
      </w:pPr>
      <w:r>
        <w:rPr>
          <w:rFonts w:ascii="Arial" w:cs="Arial" w:eastAsia="Arial" w:hAnsi="Arial"/>
          <w:color w:val="2D2D2D"/>
          <w:sz w:val="20"/>
          <w:szCs w:val="20"/>
        </w:rPr>
        <w:t xml:space="preserve">[8] Caldara, D., and Iacoviello, M. (2022). Measuring Geopolitical Risk. American Economic Review, 112(4), 1194-1225.</w:t>
      </w:r>
    </w:p>
    <w:p>
      <w:pPr>
        <w:spacing w:after="60" w:before="60" w:line="300" w:lineRule="auto"/>
        <w:ind w:left="720" w:hanging="720"/>
      </w:pPr>
      <w:r>
        <w:rPr>
          <w:rFonts w:ascii="Arial" w:cs="Arial" w:eastAsia="Arial" w:hAnsi="Arial"/>
          <w:color w:val="2D2D2D"/>
          <w:sz w:val="20"/>
          <w:szCs w:val="20"/>
        </w:rPr>
        <w:t xml:space="preserve">[9] Blanchard, O., and Gali, J. (2007). The Macroeconomic Effects of Oil Shocks: Why are the 2000s so Different from the 1970s? NBER Working Paper 13368.</w:t>
      </w:r>
    </w:p>
    <w:p>
      <w:pPr>
        <w:spacing w:after="60" w:before="60" w:line="300" w:lineRule="auto"/>
        <w:ind w:left="720" w:hanging="720"/>
      </w:pPr>
      <w:r>
        <w:rPr>
          <w:rFonts w:ascii="Arial" w:cs="Arial" w:eastAsia="Arial" w:hAnsi="Arial"/>
          <w:color w:val="2D2D2D"/>
          <w:sz w:val="20"/>
          <w:szCs w:val="20"/>
        </w:rPr>
        <w:t xml:space="preserve">[10] Kilian, L., and Zhou, X. (2022). The Impact of Rising Oil Prices on U.S. Inflation and Inflation Expectations in 2020-23. Energy Economics, 113, 106228.</w:t>
      </w:r>
    </w:p>
    <w:p>
      <w:pPr>
        <w:spacing w:after="60" w:before="60" w:line="300" w:lineRule="auto"/>
        <w:ind w:left="720" w:hanging="720"/>
      </w:pPr>
      <w:r>
        <w:rPr>
          <w:rFonts w:ascii="Arial" w:cs="Arial" w:eastAsia="Arial" w:hAnsi="Arial"/>
          <w:color w:val="2D2D2D"/>
          <w:sz w:val="20"/>
          <w:szCs w:val="20"/>
        </w:rPr>
        <w:t xml:space="preserve">[11] Bernanke, B., Gertler, M., and Watson, M. (1997). Systematic Monetary Policy and the Effects of Oil Price Shocks. Brookings Papers on Economic Activity, 1997(1), 91-157.</w:t>
      </w:r>
    </w:p>
    <w:p>
      <w:pPr>
        <w:spacing w:after="60" w:before="60" w:line="300" w:lineRule="auto"/>
        <w:ind w:left="720" w:hanging="720"/>
      </w:pPr>
      <w:r>
        <w:rPr>
          <w:rFonts w:ascii="Arial" w:cs="Arial" w:eastAsia="Arial" w:hAnsi="Arial"/>
          <w:color w:val="2D2D2D"/>
          <w:sz w:val="20"/>
          <w:szCs w:val="20"/>
        </w:rPr>
        <w:t xml:space="preserve">[12] Presno, I., and Prestipino, A. (2024). Oil Price Shocks and Inflation in a DSGE Model of the Global Economy. FEDS Notes, Federal Reserve Board.</w:t>
      </w:r>
    </w:p>
    <w:p>
      <w:pPr>
        <w:spacing w:after="60" w:before="60" w:line="300" w:lineRule="auto"/>
        <w:ind w:left="720" w:hanging="720"/>
      </w:pPr>
      <w:r>
        <w:rPr>
          <w:rFonts w:ascii="Arial" w:cs="Arial" w:eastAsia="Arial" w:hAnsi="Arial"/>
          <w:color w:val="2D2D2D"/>
          <w:sz w:val="20"/>
          <w:szCs w:val="20"/>
        </w:rPr>
        <w:t xml:space="preserve">[13] Araci, D. (2019). FinBERT: Financial Sentiment Analysis with Pre-trained Language Models. arXiv:1908.10063.</w:t>
      </w:r>
    </w:p>
    <w:p>
      <w:pPr>
        <w:spacing w:after="60" w:before="60" w:line="300" w:lineRule="auto"/>
        <w:ind w:left="720" w:hanging="720"/>
      </w:pPr>
      <w:r>
        <w:rPr>
          <w:rFonts w:ascii="Arial" w:cs="Arial" w:eastAsia="Arial" w:hAnsi="Arial"/>
          <w:color w:val="2D2D2D"/>
          <w:sz w:val="20"/>
          <w:szCs w:val="20"/>
        </w:rPr>
        <w:t xml:space="preserve">[14] Financial Stability Board. (2024). The Financial Stability Implications of Artificial Intelligence.</w:t>
      </w:r>
    </w:p>
    <w:p>
      <w:pPr>
        <w:spacing w:after="60" w:before="60" w:line="300" w:lineRule="auto"/>
        <w:ind w:left="720" w:hanging="720"/>
      </w:pPr>
      <w:r>
        <w:rPr>
          <w:rFonts w:ascii="Arial" w:cs="Arial" w:eastAsia="Arial" w:hAnsi="Arial"/>
          <w:color w:val="2D2D2D"/>
          <w:sz w:val="20"/>
          <w:szCs w:val="20"/>
        </w:rPr>
        <w:t xml:space="preserve">[15] Bank for International Settlements. (2024). Intelligent Financial System: How AI is Transforming Finance. BIS Working Papers No. 1194.</w:t>
      </w:r>
    </w:p>
    <w:p>
      <w:pPr>
        <w:spacing w:after="60" w:before="60" w:line="300" w:lineRule="auto"/>
        <w:ind w:left="720" w:hanging="720"/>
      </w:pPr>
      <w:r>
        <w:rPr>
          <w:rFonts w:ascii="Arial" w:cs="Arial" w:eastAsia="Arial" w:hAnsi="Arial"/>
          <w:color w:val="2D2D2D"/>
          <w:sz w:val="20"/>
          <w:szCs w:val="20"/>
        </w:rPr>
        <w:t xml:space="preserve">[16] Yang, H., et al. (2023). FinGPT: Open-Source Financial Large Language Models. arXiv:2306.06031.</w:t>
      </w:r>
    </w:p>
    <w:p>
      <w:pPr>
        <w:spacing w:after="60" w:before="60" w:line="300" w:lineRule="auto"/>
        <w:ind w:left="720" w:hanging="720"/>
      </w:pPr>
      <w:r>
        <w:rPr>
          <w:rFonts w:ascii="Arial" w:cs="Arial" w:eastAsia="Arial" w:hAnsi="Arial"/>
          <w:color w:val="2D2D2D"/>
          <w:sz w:val="20"/>
          <w:szCs w:val="20"/>
        </w:rPr>
        <w:t xml:space="preserve">[17] Dubey, A., et al. (2024). The Llama 3 Herd of Models. arXiv:2407.21783.</w:t>
      </w:r>
    </w:p>
    <w:p>
      <w:pPr>
        <w:spacing w:after="60" w:before="60" w:line="300" w:lineRule="auto"/>
        <w:ind w:left="720" w:hanging="720"/>
      </w:pPr>
      <w:r>
        <w:rPr>
          <w:rFonts w:ascii="Arial" w:cs="Arial" w:eastAsia="Arial" w:hAnsi="Arial"/>
          <w:color w:val="2D2D2D"/>
          <w:sz w:val="20"/>
          <w:szCs w:val="20"/>
        </w:rPr>
        <w:t xml:space="preserve">[18] Ma, J., et al. (2025). Causal Inference with Large Language Models: A Survey. Findings of ACL 2025.</w:t>
      </w:r>
    </w:p>
    <w:p>
      <w:pPr>
        <w:spacing w:after="60" w:before="60" w:line="300" w:lineRule="auto"/>
        <w:ind w:left="720" w:hanging="720"/>
      </w:pPr>
      <w:r>
        <w:rPr>
          <w:rFonts w:ascii="Arial" w:cs="Arial" w:eastAsia="Arial" w:hAnsi="Arial"/>
          <w:color w:val="2D2D2D"/>
          <w:sz w:val="20"/>
          <w:szCs w:val="20"/>
        </w:rPr>
        <w:t xml:space="preserve">[19] Prabhakar, N. (2026). QuantLens: A Hierarchical Multi-Agent AI System for Financial Analysis. Unpublished Master's Capstone Project, Temple University.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after="0" w:before="80"/>
    </w:pPr>
    <w:r>
      <w:rPr>
        <w:rFonts w:ascii="Arial" w:cs="Arial" w:eastAsia="Arial" w:hAnsi="Arial"/>
        <w:color w:val="5A5A5A"/>
        <w:sz w:val="16"/>
        <w:szCs w:val="16"/>
      </w:rPr>
      <w:t xml:space="preserve">Submitted in support of PhD application  |  Fox School of Business  |  Department of Statistics</w:t>
    </w:r>
    <w:r>
      <w:rPr>
        <w:rFonts w:ascii="Arial" w:cs="Arial" w:eastAsia="Arial" w:hAnsi="Arial"/>
        <w:sz w:val="16"/>
        <w:szCs w:val="16"/>
      </w:rPr>
      <w:t xml:space="preserve">	</w:t>
    </w:r>
    <w:r>
      <w:rPr>
        <w:rFonts w:ascii="Arial" w:cs="Arial" w:eastAsia="Arial" w:hAnsi="Arial"/>
        <w:color w:val="5A5A5A"/>
        <w:sz w:val="16"/>
        <w:szCs w:val="16"/>
      </w:rPr>
      <w:t xml:space="preserve">Page </w:t>
    </w:r>
    <w:fldSimple w:instr="PAGE">
      <w:r>
        <w:rPr>
          <w:rFonts w:ascii="Arial" w:cs="Arial" w:eastAsia="Arial" w:hAnsi="Arial"/>
          <w:color w:val="5A5A5A"/>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2235" w:sz="4" w:space="4"/>
      </w:pBdr>
      <w:tabs>
        <w:tab w:val="right" w:pos="9360"/>
      </w:tabs>
      <w:spacing w:after="80" w:before="0"/>
    </w:pPr>
    <w:r>
      <w:rPr>
        <w:rFonts w:ascii="Arial" w:cs="Arial" w:eastAsia="Arial" w:hAnsi="Arial"/>
        <w:b/>
        <w:bCs/>
        <w:color w:val="9D2235"/>
        <w:sz w:val="18"/>
        <w:szCs w:val="18"/>
      </w:rPr>
      <w:t xml:space="preserve">AFRED Research Report</w:t>
    </w:r>
    <w:r>
      <w:rPr>
        <w:rFonts w:ascii="Arial" w:cs="Arial" w:eastAsia="Arial" w:hAnsi="Arial"/>
        <w:sz w:val="18"/>
        <w:szCs w:val="18"/>
      </w:rPr>
      <w:t xml:space="preserve">	</w:t>
    </w:r>
    <w:r>
      <w:rPr>
        <w:rFonts w:ascii="Arial" w:cs="Arial" w:eastAsia="Arial" w:hAnsi="Arial"/>
        <w:color w:val="5A5A5A"/>
        <w:sz w:val="18"/>
        <w:szCs w:val="18"/>
      </w:rPr>
      <w:t xml:space="preserve">Nimish Prabhakar  |  Temple University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9D2235"/>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2026-04-08T23:04:17.871Z</dcterms:created>
  <dcterms:modified xsi:type="dcterms:W3CDTF">2026-04-08T23:04:17.872Z</dcterms:modified>
</cp:coreProperties>
</file>

<file path=docProps/custom.xml><?xml version="1.0" encoding="utf-8"?>
<Properties xmlns="http://schemas.openxmlformats.org/officeDocument/2006/custom-properties" xmlns:vt="http://schemas.openxmlformats.org/officeDocument/2006/docPropsVTypes"/>
</file>