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600"/>
      </w:pPr>
      <w:r>
        <w:rPr>
          <w:rFonts w:ascii="Calibri" w:cs="Calibri" w:eastAsia="Calibri" w:hAnsi="Calibri"/>
          <w:b/>
          <w:bCs/>
          <w:color w:val="1C0087"/>
          <w:sz w:val="72"/>
          <w:szCs w:val="72"/>
        </w:rPr>
        <w:t xml:space="preserve">PRISM</w:t>
      </w:r>
    </w:p>
    <w:p>
      <w:pPr>
        <w:spacing w:after="40"/>
      </w:pPr>
      <w:r>
        <w:rPr>
          <w:rFonts w:ascii="Calibri" w:cs="Calibri" w:eastAsia="Calibri" w:hAnsi="Calibri"/>
          <w:color w:val="0086EA"/>
          <w:sz w:val="40"/>
          <w:szCs w:val="40"/>
        </w:rPr>
        <w:t xml:space="preserve">Technical Documentation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Proactive Recommendation &amp; Insight System for Metrics</w:t>
      </w:r>
    </w:p>
    <w:p>
      <w:r>
        <w:rPr>
          <w:rFonts w:ascii="Calibri" w:cs="Calibri" w:eastAsia="Calibri" w:hAnsi="Calibri"/>
          <w:color w:val="6B7280"/>
          <w:sz w:val="20"/>
          <w:szCs w:val="20"/>
        </w:rPr>
        <w:t xml:space="preserve">Jersey Mike's · built by WWT · architecture, code, data flow, and file reference</w:t>
      </w:r>
    </w:p>
    <w:p>
      <w:r>
        <w:br w:type="page"/>
      </w:r>
    </w:p>
    <w:p>
      <w:pPr>
        <w:spacing w:after="150"/>
      </w:pPr>
      <w:r>
        <w:rPr>
          <w:rFonts w:ascii="Calibri" w:cs="Calibri" w:eastAsia="Calibri" w:hAnsi="Calibri"/>
          <w:b/>
          <w:bCs/>
          <w:color w:val="1C0087"/>
          <w:sz w:val="28"/>
          <w:szCs w:val="28"/>
        </w:rPr>
        <w:t xml:space="preserve">Contents</w:t>
      </w:r>
    </w:p>
    <w:p>
      <w:pPr>
        <w:spacing w:after="72"/>
      </w:pPr>
      <w:r>
        <w:rPr>
          <w:rFonts w:ascii="Calibri" w:cs="Calibri" w:eastAsia="Calibri" w:hAnsi="Calibri"/>
          <w:color w:val="262626"/>
          <w:sz w:val="23"/>
          <w:szCs w:val="23"/>
        </w:rPr>
        <w:t xml:space="preserve">1.   What PRISM is</w:t>
      </w:r>
    </w:p>
    <w:p>
      <w:pPr>
        <w:spacing w:after="72"/>
      </w:pPr>
      <w:r>
        <w:rPr>
          <w:rFonts w:ascii="Calibri" w:cs="Calibri" w:eastAsia="Calibri" w:hAnsi="Calibri"/>
          <w:color w:val="262626"/>
          <w:sz w:val="23"/>
          <w:szCs w:val="23"/>
        </w:rPr>
        <w:t xml:space="preserve">2.   How PRISM works</w:t>
      </w:r>
    </w:p>
    <w:p>
      <w:pPr>
        <w:spacing w:after="72"/>
      </w:pPr>
      <w:r>
        <w:rPr>
          <w:rFonts w:ascii="Calibri" w:cs="Calibri" w:eastAsia="Calibri" w:hAnsi="Calibri"/>
          <w:color w:val="262626"/>
          <w:sz w:val="23"/>
          <w:szCs w:val="23"/>
        </w:rPr>
        <w:t xml:space="preserve">3.   The agent (agent_loop.py + tools.py)</w:t>
      </w:r>
    </w:p>
    <w:p>
      <w:pPr>
        <w:spacing w:after="72"/>
      </w:pPr>
      <w:r>
        <w:rPr>
          <w:rFonts w:ascii="Calibri" w:cs="Calibri" w:eastAsia="Calibri" w:hAnsi="Calibri"/>
          <w:color w:val="262626"/>
          <w:sz w:val="23"/>
          <w:szCs w:val="23"/>
        </w:rPr>
        <w:t xml:space="preserve">4.   Technical stack</w:t>
      </w:r>
    </w:p>
    <w:p>
      <w:pPr>
        <w:spacing w:after="72"/>
      </w:pPr>
      <w:r>
        <w:rPr>
          <w:rFonts w:ascii="Calibri" w:cs="Calibri" w:eastAsia="Calibri" w:hAnsi="Calibri"/>
          <w:color w:val="262626"/>
          <w:sz w:val="23"/>
          <w:szCs w:val="23"/>
        </w:rPr>
        <w:t xml:space="preserve">5.   Data boundary &amp; persistence</w:t>
      </w:r>
    </w:p>
    <w:p>
      <w:pPr>
        <w:spacing w:after="72"/>
      </w:pPr>
      <w:r>
        <w:rPr>
          <w:rFonts w:ascii="Calibri" w:cs="Calibri" w:eastAsia="Calibri" w:hAnsi="Calibri"/>
          <w:color w:val="262626"/>
          <w:sz w:val="23"/>
          <w:szCs w:val="23"/>
        </w:rPr>
        <w:t xml:space="preserve">6.   File reference — what each file holds</w:t>
      </w:r>
    </w:p>
    <w:p>
      <w:pPr>
        <w:spacing w:after="72"/>
      </w:pPr>
      <w:r>
        <w:rPr>
          <w:rFonts w:ascii="Calibri" w:cs="Calibri" w:eastAsia="Calibri" w:hAnsi="Calibri"/>
          <w:color w:val="262626"/>
          <w:sz w:val="23"/>
          <w:szCs w:val="23"/>
        </w:rPr>
        <w:t xml:space="preserve">7.   How the code moves, file to file</w:t>
      </w:r>
    </w:p>
    <w:p>
      <w:pPr>
        <w:spacing w:after="72"/>
      </w:pPr>
      <w:r>
        <w:rPr>
          <w:rFonts w:ascii="Calibri" w:cs="Calibri" w:eastAsia="Calibri" w:hAnsi="Calibri"/>
          <w:color w:val="262626"/>
          <w:sz w:val="23"/>
          <w:szCs w:val="23"/>
        </w:rPr>
        <w:t xml:space="preserve">8.   Guardrails and keeping the agent honest</w:t>
      </w:r>
    </w:p>
    <w:p>
      <w:pPr>
        <w:spacing w:after="72"/>
      </w:pPr>
      <w:r>
        <w:rPr>
          <w:rFonts w:ascii="Calibri" w:cs="Calibri" w:eastAsia="Calibri" w:hAnsi="Calibri"/>
          <w:color w:val="262626"/>
          <w:sz w:val="23"/>
          <w:szCs w:val="23"/>
        </w:rPr>
        <w:t xml:space="preserve">9.   Running PRISM</w:t>
      </w:r>
    </w:p>
    <w:p>
      <w:r>
        <w:br w:type="page"/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C0087"/>
          <w:sz w:val="30"/>
          <w:szCs w:val="30"/>
        </w:rPr>
        <w:t xml:space="preserve">1. What PRISM is</w:t>
      </w:r>
    </w:p>
    <w:p>
      <w:pPr>
        <w:spacing w:after="120" w:line="288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PRISM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— </w:t>
      </w:r>
      <w:r>
        <w:rPr>
          <w:rFonts w:ascii="Calibri" w:cs="Calibri" w:eastAsia="Calibri" w:hAnsi="Calibri"/>
          <w:i/>
          <w:iCs/>
          <w:color w:val="262626"/>
          <w:sz w:val="22"/>
          <w:szCs w:val="22"/>
        </w:rPr>
        <w:t xml:space="preserve">Proactive Recommendation &amp; Insight System for Metrics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— is the proactive half of Jersey Mike's data assistant, built by WWT. Every week it reads the balanced-scorecard metrics for every store, finds the few that are genuinely off, has an AI agent work out </w:t>
      </w: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why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and what to do about it, links related stores into systemic patterns, and routes each issue to the right owner — before anyone goes looking.</w:t>
      </w:r>
    </w:p>
    <w:p>
      <w:pPr>
        <w:spacing w:after="120" w:line="288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It exists to solve an attention problem. A dashboard shows </w:t>
      </w:r>
      <w:r>
        <w:rPr>
          <w:rFonts w:ascii="Calibri" w:cs="Calibri" w:eastAsia="Calibri" w:hAnsi="Calibri"/>
          <w:i/>
          <w:iCs/>
          <w:color w:val="262626"/>
          <w:sz w:val="22"/>
          <w:szCs w:val="22"/>
        </w:rPr>
        <w:t xml:space="preserve">what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moved, but with a few hundred stores and a dozen metrics each, that is thousands of data points a week and no way for a person to look at the right thing at the right time. PRISM does that triage automatically and hands back a short, plain-language conclusion with one recommended action.</w:t>
      </w:r>
    </w:p>
    <w:p>
      <w:pPr>
        <w:spacing w:after="120" w:line="288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The guiding principle is </w:t>
      </w: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a deterministic pipeline with exactly one AI step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. Deciding which stores are off, validating numbers, correlating patterns, and routing are all fixed code. Only the per-store </w:t>
      </w:r>
      <w:r>
        <w:rPr>
          <w:rFonts w:ascii="Calibri" w:cs="Calibri" w:eastAsia="Calibri" w:hAnsi="Calibri"/>
          <w:i/>
          <w:iCs/>
          <w:color w:val="262626"/>
          <w:sz w:val="22"/>
          <w:szCs w:val="22"/>
        </w:rPr>
        <w:t xml:space="preserve">diagnosis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— the explanation of the cause — is done by the AI agent, and even that must prove every claim against real data. This is the v2 design; it runs behind the </w:t>
      </w:r>
      <w:r>
        <w:rPr>
          <w:rFonts w:ascii="Consolas" w:cs="Consolas" w:eastAsia="Consolas" w:hAnsi="Consolas"/>
          <w:color w:val="1C0087"/>
          <w:sz w:val="20"/>
          <w:szCs w:val="20"/>
        </w:rPr>
        <w:t xml:space="preserve">reasoning.use_tools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switch, with the older single-narration path (</w:t>
      </w:r>
      <w:r>
        <w:rPr>
          <w:rFonts w:ascii="Consolas" w:cs="Consolas" w:eastAsia="Consolas" w:hAnsi="Consolas"/>
          <w:color w:val="1C0087"/>
          <w:sz w:val="20"/>
          <w:szCs w:val="20"/>
        </w:rPr>
        <w:t xml:space="preserve">reason.py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) kept as a fallback.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411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Figure 1 — PRISM modules organised by layer.</w:t>
      </w:r>
    </w:p>
    <w:p>
      <w:r>
        <w:br w:type="page"/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C0087"/>
          <w:sz w:val="30"/>
          <w:szCs w:val="30"/>
        </w:rPr>
        <w:t xml:space="preserve">2. How PRISM works</w:t>
      </w:r>
    </w:p>
    <w:p>
      <w:pPr>
        <w:spacing w:after="120" w:line="288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A weekly run is orchestrated end to end by </w:t>
      </w:r>
      <w:r>
        <w:rPr>
          <w:rFonts w:ascii="Consolas" w:cs="Consolas" w:eastAsia="Consolas" w:hAnsi="Consolas"/>
          <w:color w:val="1C0087"/>
          <w:sz w:val="20"/>
          <w:szCs w:val="20"/>
        </w:rPr>
        <w:t xml:space="preserve">agent.run_analysis()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. The stages below are deterministic except stage 4 (the AI diagnosis).</w:t>
      </w:r>
    </w:p>
    <w:p>
      <w:pPr>
        <w:spacing w:after="40" w:before="140"/>
        <w:jc w:val="center"/>
      </w:pPr>
      <w:r>
        <w:drawing>
          <wp:inline distT="0" distB="0" distL="0" distR="0">
            <wp:extent cx="4476750" cy="523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Figure 2 — the weekly run, stage by stage, with the file and function behind each.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0086EA"/>
          <w:sz w:val="24"/>
          <w:szCs w:val="24"/>
        </w:rPr>
        <w:t xml:space="preserve">2.1 Detection — which stores are off</w:t>
      </w:r>
    </w:p>
    <w:p>
      <w:pPr>
        <w:spacing w:after="120" w:line="288"/>
      </w:pPr>
      <w:r>
        <w:rPr>
          <w:rFonts w:ascii="Consolas" w:cs="Consolas" w:eastAsia="Consolas" w:hAnsi="Consolas"/>
          <w:color w:val="1C0087"/>
          <w:sz w:val="20"/>
          <w:szCs w:val="20"/>
        </w:rPr>
        <w:t xml:space="preserve">agent._detect_weekly_metric()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compares each store's latest value against its own trailing baseline; rate metrics (SSS, OSAT, EBITDA) are compared in </w:t>
      </w: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points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, not ratios, with per-metric severity bands calibrated from real volatility. </w:t>
      </w:r>
      <w:r>
        <w:rPr>
          <w:rFonts w:ascii="Consolas" w:cs="Consolas" w:eastAsia="Consolas" w:hAnsi="Consolas"/>
          <w:color w:val="1C0087"/>
          <w:sz w:val="20"/>
          <w:szCs w:val="20"/>
        </w:rPr>
        <w:t xml:space="preserve">agent._detect_fsa()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handles food-safety audits separately, flagging only a genuine breach of the safety floor (not a store merely under an aspirational target). This step is pure rules, so the trigger behaves identically every week.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0086EA"/>
          <w:sz w:val="24"/>
          <w:szCs w:val="24"/>
        </w:rPr>
        <w:t xml:space="preserve">2.2 Enrichment</w:t>
      </w:r>
    </w:p>
    <w:p>
      <w:pPr>
        <w:spacing w:after="120" w:line="288"/>
      </w:pPr>
      <w:r>
        <w:rPr>
          <w:rFonts w:ascii="Consolas" w:cs="Consolas" w:eastAsia="Consolas" w:hAnsi="Consolas"/>
          <w:color w:val="1C0087"/>
          <w:sz w:val="20"/>
          <w:szCs w:val="20"/>
        </w:rPr>
        <w:t xml:space="preserve">agent._enrich_with_owners()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attaches each flagged store's org context (franchise owner, FBC, Area Director, Regional VP, region), and </w:t>
      </w:r>
      <w:r>
        <w:rPr>
          <w:rFonts w:ascii="Consolas" w:cs="Consolas" w:eastAsia="Consolas" w:hAnsi="Consolas"/>
          <w:color w:val="1C0087"/>
          <w:sz w:val="20"/>
          <w:szCs w:val="20"/>
        </w:rPr>
        <w:t xml:space="preserve">evidence.py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builds the per-store evidence packet — the numbers the card and the agent will use.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0086EA"/>
          <w:sz w:val="24"/>
          <w:szCs w:val="24"/>
        </w:rPr>
        <w:t xml:space="preserve">2.3 Diagnosis — the one AI step</w:t>
      </w:r>
    </w:p>
    <w:p>
      <w:pPr>
        <w:spacing w:after="120" w:line="288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For each flagged store, </w:t>
      </w:r>
      <w:r>
        <w:rPr>
          <w:rFonts w:ascii="Consolas" w:cs="Consolas" w:eastAsia="Consolas" w:hAnsi="Consolas"/>
          <w:color w:val="1C0087"/>
          <w:sz w:val="20"/>
          <w:szCs w:val="20"/>
        </w:rPr>
        <w:t xml:space="preserve">agent._diagnose_stores()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calls </w:t>
      </w:r>
      <w:r>
        <w:rPr>
          <w:rFonts w:ascii="Consolas" w:cs="Consolas" w:eastAsia="Consolas" w:hAnsi="Consolas"/>
          <w:color w:val="1C0087"/>
          <w:sz w:val="20"/>
          <w:szCs w:val="20"/>
        </w:rPr>
        <w:t xml:space="preserve">agent_loop.diagnose_store_agentic()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, which runs the investigation loop described in section 3. Diagnoses run in parallel across the top-ranked stores via a </w:t>
      </w:r>
      <w:r>
        <w:rPr>
          <w:rFonts w:ascii="Consolas" w:cs="Consolas" w:eastAsia="Consolas" w:hAnsi="Consolas"/>
          <w:color w:val="1C0087"/>
          <w:sz w:val="20"/>
          <w:szCs w:val="20"/>
        </w:rPr>
        <w:t xml:space="preserve">ThreadPoolExecutor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, and results are cached on a store signature so unchanged stores aren't re-diagnosed.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0086EA"/>
          <w:sz w:val="24"/>
          <w:szCs w:val="24"/>
        </w:rPr>
        <w:t xml:space="preserve">2.4 Grounding</w:t>
      </w:r>
    </w:p>
    <w:p>
      <w:pPr>
        <w:spacing w:after="120" w:line="288"/>
      </w:pPr>
      <w:r>
        <w:rPr>
          <w:rFonts w:ascii="Consolas" w:cs="Consolas" w:eastAsia="Consolas" w:hAnsi="Consolas"/>
          <w:color w:val="1C0087"/>
          <w:sz w:val="20"/>
          <w:szCs w:val="20"/>
        </w:rPr>
        <w:t xml:space="preserve">ground.ground_agent()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enforces a deterministic </w:t>
      </w: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severity floor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— the AI may raise severity but never lower a hard rule (a food-safety breach is always Critical) — and reconciles the primary issue with any secondary issues. The legacy path additionally validates every cited number against the evidence packet and falls back to </w:t>
      </w:r>
      <w:r>
        <w:rPr>
          <w:rFonts w:ascii="Consolas" w:cs="Consolas" w:eastAsia="Consolas" w:hAnsi="Consolas"/>
          <w:color w:val="1C0087"/>
          <w:sz w:val="20"/>
          <w:szCs w:val="20"/>
        </w:rPr>
        <w:t xml:space="preserve">diagnose.py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if too much is unverifiable, so no store is ever dropped.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0086EA"/>
          <w:sz w:val="24"/>
          <w:szCs w:val="24"/>
        </w:rPr>
        <w:t xml:space="preserve">2.5 Correlation</w:t>
      </w:r>
    </w:p>
    <w:p>
      <w:pPr>
        <w:spacing w:after="120" w:line="288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Correlation is deterministic. </w:t>
      </w:r>
      <w:r>
        <w:rPr>
          <w:rFonts w:ascii="Consolas" w:cs="Consolas" w:eastAsia="Consolas" w:hAnsi="Consolas"/>
          <w:color w:val="1C0087"/>
          <w:sz w:val="20"/>
          <w:szCs w:val="20"/>
        </w:rPr>
        <w:t xml:space="preserve">agent._quick_driver()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tags every flagged store with a rule-based cause; the agent's richer driver overrides it on diagnosed stores. </w:t>
      </w:r>
      <w:r>
        <w:rPr>
          <w:rFonts w:ascii="Consolas" w:cs="Consolas" w:eastAsia="Consolas" w:hAnsi="Consolas"/>
          <w:color w:val="1C0087"/>
          <w:sz w:val="20"/>
          <w:szCs w:val="20"/>
        </w:rPr>
        <w:t xml:space="preserve">agent._correlate_by_cause()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groups stores that share a driver under one FBC and only calls it systemic if the cohort clears count, share, and lift thresholds; </w:t>
      </w:r>
      <w:r>
        <w:rPr>
          <w:rFonts w:ascii="Consolas" w:cs="Consolas" w:eastAsia="Consolas" w:hAnsi="Consolas"/>
          <w:color w:val="1C0087"/>
          <w:sz w:val="20"/>
          <w:szCs w:val="20"/>
        </w:rPr>
        <w:t xml:space="preserve">agent._find_fleet_patterns()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flags a driver that is broad across regions and FBCs as a company-wide pattern for leadership.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0086EA"/>
          <w:sz w:val="24"/>
          <w:szCs w:val="24"/>
        </w:rPr>
        <w:t xml:space="preserve">2.6 Routing, render, persist</w:t>
      </w:r>
    </w:p>
    <w:p>
      <w:pPr>
        <w:spacing w:after="120" w:line="288"/>
      </w:pPr>
      <w:r>
        <w:rPr>
          <w:rFonts w:ascii="Consolas" w:cs="Consolas" w:eastAsia="Consolas" w:hAnsi="Consolas"/>
          <w:color w:val="1C0087"/>
          <w:sz w:val="20"/>
          <w:szCs w:val="20"/>
        </w:rPr>
        <w:t xml:space="preserve">agent._route_recipient()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resolves the tier the agent proposed (</w:t>
      </w:r>
      <w:r>
        <w:rPr>
          <w:rFonts w:ascii="Consolas" w:cs="Consolas" w:eastAsia="Consolas" w:hAnsi="Consolas"/>
          <w:color w:val="1C0087"/>
          <w:sz w:val="20"/>
          <w:szCs w:val="20"/>
        </w:rPr>
        <w:t xml:space="preserve">suggested_route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) to a real person and escalates up the FBC → Area Director → Regional VP chain if a tier is unassigned. </w:t>
      </w:r>
      <w:r>
        <w:rPr>
          <w:rFonts w:ascii="Consolas" w:cs="Consolas" w:eastAsia="Consolas" w:hAnsi="Consolas"/>
          <w:color w:val="1C0087"/>
          <w:sz w:val="20"/>
          <w:szCs w:val="20"/>
        </w:rPr>
        <w:t xml:space="preserve">agent_ui.py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renders the store and pattern cards and the dispatch bar; </w:t>
      </w:r>
      <w:r>
        <w:rPr>
          <w:rFonts w:ascii="Consolas" w:cs="Consolas" w:eastAsia="Consolas" w:hAnsi="Consolas"/>
          <w:color w:val="1C0087"/>
          <w:sz w:val="20"/>
          <w:szCs w:val="20"/>
        </w:rPr>
        <w:t xml:space="preserve">alert_store.py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upserts the insights (and keeps human feedback separate); </w:t>
      </w:r>
      <w:r>
        <w:rPr>
          <w:rFonts w:ascii="Consolas" w:cs="Consolas" w:eastAsia="Consolas" w:hAnsi="Consolas"/>
          <w:color w:val="1C0087"/>
          <w:sz w:val="20"/>
          <w:szCs w:val="20"/>
        </w:rPr>
        <w:t xml:space="preserve">data_connector.write_insights()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mirrors the current insights to a CSV the dashboard reads.</w:t>
      </w:r>
    </w:p>
    <w:p>
      <w:r>
        <w:br w:type="page"/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C0087"/>
          <w:sz w:val="30"/>
          <w:szCs w:val="30"/>
        </w:rPr>
        <w:t xml:space="preserve">3. The agent (agent_loop.py + tools.py)</w:t>
      </w:r>
    </w:p>
    <w:p>
      <w:pPr>
        <w:spacing w:after="120" w:line="288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Persona.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The model is cast as a seasoned Jersey Mike's field analyst with one narrow job: given a flagged store, find the cause and the action. </w:t>
      </w: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Instructions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(the system prompt) hold the rules: tools return measurements not verdicts; never assert what you haven't checked; use only numbers a tool returned; give one primary action; state honest confidence; separate problems go in </w:t>
      </w:r>
      <w:r>
        <w:rPr>
          <w:rFonts w:ascii="Consolas" w:cs="Consolas" w:eastAsia="Consolas" w:hAnsi="Consolas"/>
          <w:color w:val="1C0087"/>
          <w:sz w:val="20"/>
          <w:szCs w:val="20"/>
        </w:rPr>
        <w:t xml:space="preserve">secondary_issues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; food safety is its own issue.</w:t>
      </w:r>
    </w:p>
    <w:p>
      <w:pPr>
        <w:spacing w:after="120" w:line="288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The loop.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The agent decides a question, calls a tool, reads the measurement, and decides again — up to a budget of 8 tool calls. It exits by producing a </w:t>
      </w:r>
      <w:r>
        <w:rPr>
          <w:rFonts w:ascii="Consolas" w:cs="Consolas" w:eastAsia="Consolas" w:hAnsi="Consolas"/>
          <w:color w:val="1C0087"/>
          <w:sz w:val="20"/>
          <w:szCs w:val="20"/>
        </w:rPr>
        <w:t xml:space="preserve">store_diagnosis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: either naturally (enough evidence) or via a single forced final call when the budget is hit (lower confidence, open items noted). If it errors, PRISM falls back to the deterministic diagnosis — so the loop can never run forever and never returns nothing.</w:t>
      </w:r>
    </w:p>
    <w:p>
      <w:pPr>
        <w:spacing w:after="40" w:before="140"/>
        <w:jc w:val="center"/>
      </w:pPr>
      <w:r>
        <w:drawing>
          <wp:inline distT="0" distB="0" distL="0" distR="0">
            <wp:extent cx="5524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Figure 3 — the investigation loop and its exit path.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0086EA"/>
          <w:sz w:val="24"/>
          <w:szCs w:val="24"/>
        </w:rPr>
        <w:t xml:space="preserve">3.1 The tools</w:t>
      </w:r>
    </w:p>
    <w:p>
      <w:pPr>
        <w:spacing w:after="120" w:line="288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All ten tools are </w:t>
      </w: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read-only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and fall into two kinds: </w:t>
      </w:r>
      <w:r>
        <w:rPr>
          <w:rFonts w:ascii="Calibri" w:cs="Calibri" w:eastAsia="Calibri" w:hAnsi="Calibri"/>
          <w:i/>
          <w:iCs/>
          <w:color w:val="262626"/>
          <w:sz w:val="22"/>
          <w:szCs w:val="22"/>
        </w:rPr>
        <w:t xml:space="preserve">analysis doors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that return a computed measurement, and </w:t>
      </w:r>
      <w:r>
        <w:rPr>
          <w:rFonts w:ascii="Calibri" w:cs="Calibri" w:eastAsia="Calibri" w:hAnsi="Calibri"/>
          <w:i/>
          <w:iCs/>
          <w:color w:val="262626"/>
          <w:sz w:val="22"/>
          <w:szCs w:val="22"/>
        </w:rPr>
        <w:t xml:space="preserve">raw-data doors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that return underlying rows. Each carries a description the model uses to pick the right one.</w:t>
      </w:r>
    </w:p>
    <w:tbl>
      <w:tblPr>
        <w:tblW w:type="dxa" w:w="9360"/>
        <w:tblBorders>
          <w:top w:val="single" w:color="D5D8E0" w:sz="2"/>
          <w:left w:val="single" w:color="D5D8E0" w:sz="2"/>
          <w:bottom w:val="single" w:color="D5D8E0" w:sz="2"/>
          <w:right w:val="single" w:color="D5D8E0" w:sz="2"/>
          <w:insideH w:val="single" w:color="E3E6EE" w:sz="2"/>
          <w:insideV w:val="single" w:color="E3E6EE" w:sz="2"/>
        </w:tblBorders>
      </w:tblPr>
      <w:tblGrid>
        <w:gridCol w:w="2400"/>
        <w:gridCol w:w="1500"/>
        <w:gridCol w:w="5460"/>
      </w:tblGrid>
      <w:tr>
        <w:trPr>
          <w:tblHeader/>
        </w:trPr>
        <w:tc>
          <w:tcPr>
            <w:tcW w:type="dxa" w:w="2400"/>
            <w:shd w:fill="1C008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1500"/>
            <w:shd w:fill="1C008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460"/>
            <w:shd w:fill="1C008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returns</w:t>
            </w:r>
          </w:p>
        </w:tc>
      </w:tr>
      <w:tr>
        <w:tc>
          <w:tcPr>
            <w:tcW w:type="dxa" w:w="2400"/>
            <w:shd w:fill="EE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2626"/>
                <w:sz w:val="18"/>
                <w:szCs w:val="18"/>
              </w:rPr>
              <w:t xml:space="preserve">decompose_sss</w:t>
            </w:r>
          </w:p>
        </w:tc>
        <w:tc>
          <w:tcPr>
            <w:tcW w:type="dxa" w:w="1500"/>
            <w:shd w:fill="EE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analysis</w:t>
            </w:r>
          </w:p>
        </w:tc>
        <w:tc>
          <w:tcPr>
            <w:tcW w:type="dxa" w:w="5460"/>
            <w:shd w:fill="EE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Splits a sales move into traffic vs ticket (order size).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2626"/>
                <w:sz w:val="18"/>
                <w:szCs w:val="18"/>
              </w:rPr>
              <w:t xml:space="preserve">compare_to_peers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analysis</w:t>
            </w:r>
          </w:p>
        </w:tc>
        <w:tc>
          <w:tcPr>
            <w:tcW w:type="dxa" w:w="5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This store vs its FBC cohort — gap and rank.</w:t>
            </w:r>
          </w:p>
        </w:tc>
      </w:tr>
      <w:tr>
        <w:tc>
          <w:tcPr>
            <w:tcW w:type="dxa" w:w="2400"/>
            <w:shd w:fill="EE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2626"/>
                <w:sz w:val="18"/>
                <w:szCs w:val="18"/>
              </w:rPr>
              <w:t xml:space="preserve">metric_trend</w:t>
            </w:r>
          </w:p>
        </w:tc>
        <w:tc>
          <w:tcPr>
            <w:tcW w:type="dxa" w:w="1500"/>
            <w:shd w:fill="EE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analysis</w:t>
            </w:r>
          </w:p>
        </w:tc>
        <w:tc>
          <w:tcPr>
            <w:tcW w:type="dxa" w:w="5460"/>
            <w:shd w:fill="EE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A metric over time — sharp drop vs slow slide.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2626"/>
                <w:sz w:val="18"/>
                <w:szCs w:val="18"/>
              </w:rPr>
              <w:t xml:space="preserve">osat_breakdown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analysis</w:t>
            </w:r>
          </w:p>
        </w:tc>
        <w:tc>
          <w:tcPr>
            <w:tcW w:type="dxa" w:w="5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Guest sub-drivers (food, service, cleanliness, value); weakest.</w:t>
            </w:r>
          </w:p>
        </w:tc>
      </w:tr>
      <w:tr>
        <w:tc>
          <w:tcPr>
            <w:tcW w:type="dxa" w:w="2400"/>
            <w:shd w:fill="EE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2626"/>
                <w:sz w:val="18"/>
                <w:szCs w:val="18"/>
              </w:rPr>
              <w:t xml:space="preserve">channel_mix</w:t>
            </w:r>
          </w:p>
        </w:tc>
        <w:tc>
          <w:tcPr>
            <w:tcW w:type="dxa" w:w="1500"/>
            <w:shd w:fill="EE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analysis</w:t>
            </w:r>
          </w:p>
        </w:tc>
        <w:tc>
          <w:tcPr>
            <w:tcW w:type="dxa" w:w="5460"/>
            <w:shd w:fill="EE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OLO / third-party / loyalty mix.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2626"/>
                <w:sz w:val="18"/>
                <w:szCs w:val="18"/>
              </w:rPr>
              <w:t xml:space="preserve">margin_decomp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analysis</w:t>
            </w:r>
          </w:p>
        </w:tc>
        <w:tc>
          <w:tcPr>
            <w:tcW w:type="dxa" w:w="5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EBITDA move vs the sales move.</w:t>
            </w:r>
          </w:p>
        </w:tc>
      </w:tr>
      <w:tr>
        <w:tc>
          <w:tcPr>
            <w:tcW w:type="dxa" w:w="2400"/>
            <w:shd w:fill="EE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2626"/>
                <w:sz w:val="18"/>
                <w:szCs w:val="18"/>
              </w:rPr>
              <w:t xml:space="preserve">ops_check</w:t>
            </w:r>
          </w:p>
        </w:tc>
        <w:tc>
          <w:tcPr>
            <w:tcW w:type="dxa" w:w="1500"/>
            <w:shd w:fill="EE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analysis</w:t>
            </w:r>
          </w:p>
        </w:tc>
        <w:tc>
          <w:tcPr>
            <w:tcW w:type="dxa" w:w="5460"/>
            <w:shd w:fill="EE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Operational signals (OpEx, order accuracy).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2626"/>
                <w:sz w:val="18"/>
                <w:szCs w:val="18"/>
              </w:rPr>
              <w:t xml:space="preserve">fsa_history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analysis</w:t>
            </w:r>
          </w:p>
        </w:tc>
        <w:tc>
          <w:tcPr>
            <w:tcW w:type="dxa" w:w="5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Recent food-safety audits and the latest finding.</w:t>
            </w:r>
          </w:p>
        </w:tc>
      </w:tr>
      <w:tr>
        <w:tc>
          <w:tcPr>
            <w:tcW w:type="dxa" w:w="2400"/>
            <w:shd w:fill="EE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2626"/>
                <w:sz w:val="18"/>
                <w:szCs w:val="18"/>
              </w:rPr>
              <w:t xml:space="preserve">get_store_weeks</w:t>
            </w:r>
          </w:p>
        </w:tc>
        <w:tc>
          <w:tcPr>
            <w:tcW w:type="dxa" w:w="1500"/>
            <w:shd w:fill="EE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raw data</w:t>
            </w:r>
          </w:p>
        </w:tc>
        <w:tc>
          <w:tcPr>
            <w:tcW w:type="dxa" w:w="5460"/>
            <w:shd w:fill="EE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The store's recent weekly rows.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2626"/>
                <w:sz w:val="18"/>
                <w:szCs w:val="18"/>
              </w:rPr>
              <w:t xml:space="preserve">list_columns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raw data</w:t>
            </w:r>
          </w:p>
        </w:tc>
        <w:tc>
          <w:tcPr>
            <w:tcW w:type="dxa" w:w="5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Available columns, so the agent can orient.</w:t>
            </w:r>
          </w:p>
        </w:tc>
      </w:tr>
    </w:tbl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0086EA"/>
          <w:sz w:val="24"/>
          <w:szCs w:val="24"/>
        </w:rPr>
        <w:t xml:space="preserve">3.2 Why the output has a fixed schema</w:t>
      </w:r>
    </w:p>
    <w:p>
      <w:pPr>
        <w:spacing w:after="120" w:line="288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The agent's final answer is not free text — it must fill the </w:t>
      </w:r>
      <w:r>
        <w:rPr>
          <w:rFonts w:ascii="Consolas" w:cs="Consolas" w:eastAsia="Consolas" w:hAnsi="Consolas"/>
          <w:color w:val="1C0087"/>
          <w:sz w:val="20"/>
          <w:szCs w:val="20"/>
        </w:rPr>
        <w:t xml:space="preserve">store_diagnosis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schema (severity, confidence, scope, driver, headline, primary_metric, root_cause, causal_chain, recommended_action, secondary_issues, suggested_route, cited_values, and more) via a forced tool call. The model is non-deterministic, so PRISM pins down the </w:t>
      </w:r>
      <w:r>
        <w:rPr>
          <w:rFonts w:ascii="Calibri" w:cs="Calibri" w:eastAsia="Calibri" w:hAnsi="Calibri"/>
          <w:i/>
          <w:iCs/>
          <w:color w:val="262626"/>
          <w:sz w:val="22"/>
          <w:szCs w:val="22"/>
        </w:rPr>
        <w:t xml:space="preserve">structure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even though it can't pin down the </w:t>
      </w:r>
      <w:r>
        <w:rPr>
          <w:rFonts w:ascii="Calibri" w:cs="Calibri" w:eastAsia="Calibri" w:hAnsi="Calibri"/>
          <w:i/>
          <w:iCs/>
          <w:color w:val="262626"/>
          <w:sz w:val="22"/>
          <w:szCs w:val="22"/>
        </w:rPr>
        <w:t xml:space="preserve">content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. The schema is the contract that lets deterministic code act on the answer: grounding floors </w:t>
      </w:r>
      <w:r>
        <w:rPr>
          <w:rFonts w:ascii="Consolas" w:cs="Consolas" w:eastAsia="Consolas" w:hAnsi="Consolas"/>
          <w:color w:val="1C0087"/>
          <w:sz w:val="20"/>
          <w:szCs w:val="20"/>
        </w:rPr>
        <w:t xml:space="preserve">severity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and verifies </w:t>
      </w:r>
      <w:r>
        <w:rPr>
          <w:rFonts w:ascii="Consolas" w:cs="Consolas" w:eastAsia="Consolas" w:hAnsi="Consolas"/>
          <w:color w:val="1C0087"/>
          <w:sz w:val="20"/>
          <w:szCs w:val="20"/>
        </w:rPr>
        <w:t xml:space="preserve">cited_values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, correlation groups on </w:t>
      </w:r>
      <w:r>
        <w:rPr>
          <w:rFonts w:ascii="Consolas" w:cs="Consolas" w:eastAsia="Consolas" w:hAnsi="Consolas"/>
          <w:color w:val="1C0087"/>
          <w:sz w:val="20"/>
          <w:szCs w:val="20"/>
        </w:rPr>
        <w:t xml:space="preserve">driver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, routing resolves </w:t>
      </w:r>
      <w:r>
        <w:rPr>
          <w:rFonts w:ascii="Consolas" w:cs="Consolas" w:eastAsia="Consolas" w:hAnsi="Consolas"/>
          <w:color w:val="1C0087"/>
          <w:sz w:val="20"/>
          <w:szCs w:val="20"/>
        </w:rPr>
        <w:t xml:space="preserve">suggested_route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, and the UI renders </w:t>
      </w:r>
      <w:r>
        <w:rPr>
          <w:rFonts w:ascii="Consolas" w:cs="Consolas" w:eastAsia="Consolas" w:hAnsi="Consolas"/>
          <w:color w:val="1C0087"/>
          <w:sz w:val="20"/>
          <w:szCs w:val="20"/>
        </w:rPr>
        <w:t xml:space="preserve">headline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1C0087"/>
          <w:sz w:val="20"/>
          <w:szCs w:val="20"/>
        </w:rPr>
        <w:t xml:space="preserve">recommended_action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.</w:t>
      </w:r>
    </w:p>
    <w:p>
      <w:r>
        <w:br w:type="page"/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C0087"/>
          <w:sz w:val="30"/>
          <w:szCs w:val="30"/>
        </w:rPr>
        <w:t xml:space="preserve">4. Technical stack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0086EA"/>
          <w:sz w:val="24"/>
          <w:szCs w:val="24"/>
        </w:rPr>
        <w:t xml:space="preserve">4.1 Libraries</w:t>
      </w:r>
    </w:p>
    <w:p>
      <w:pPr>
        <w:spacing w:after="120" w:line="288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PRISM has a deliberately small dependency set (</w:t>
      </w:r>
      <w:r>
        <w:rPr>
          <w:rFonts w:ascii="Consolas" w:cs="Consolas" w:eastAsia="Consolas" w:hAnsi="Consolas"/>
          <w:color w:val="1C0087"/>
          <w:sz w:val="20"/>
          <w:szCs w:val="20"/>
        </w:rPr>
        <w:t xml:space="preserve">requirements.txt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), plus a few Python standard-library modules doing heavy lifting.</w:t>
      </w:r>
    </w:p>
    <w:tbl>
      <w:tblPr>
        <w:tblW w:type="dxa" w:w="9360"/>
        <w:tblBorders>
          <w:top w:val="single" w:color="D5D8E0" w:sz="2"/>
          <w:left w:val="single" w:color="D5D8E0" w:sz="2"/>
          <w:bottom w:val="single" w:color="D5D8E0" w:sz="2"/>
          <w:right w:val="single" w:color="D5D8E0" w:sz="2"/>
          <w:insideH w:val="single" w:color="E3E6EE" w:sz="2"/>
          <w:insideV w:val="single" w:color="E3E6EE" w:sz="2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1C008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Library</w:t>
            </w:r>
          </w:p>
        </w:tc>
        <w:tc>
          <w:tcPr>
            <w:tcW w:type="dxa" w:w="6660"/>
            <w:shd w:fill="1C008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Used for</w:t>
            </w:r>
          </w:p>
        </w:tc>
      </w:tr>
      <w:tr>
        <w:tc>
          <w:tcPr>
            <w:tcW w:type="dxa" w:w="2700"/>
            <w:shd w:fill="EE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2626"/>
                <w:sz w:val="18"/>
                <w:szCs w:val="18"/>
              </w:rPr>
              <w:t xml:space="preserve">streamlit 1.58</w:t>
            </w:r>
          </w:p>
        </w:tc>
        <w:tc>
          <w:tcPr>
            <w:tcW w:type="dxa" w:w="6660"/>
            <w:shd w:fill="EE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The whole web UI — the proactive panel and the “Ask PRISM” chat popover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0087"/>
                <w:sz w:val="17"/>
                <w:szCs w:val="17"/>
              </w:rPr>
              <w:t xml:space="preserve">app.py</w:t>
            </w: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0087"/>
                <w:sz w:val="17"/>
                <w:szCs w:val="17"/>
              </w:rPr>
              <w:t xml:space="preserve">agent_ui.py</w:t>
            </w: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).</w:t>
            </w:r>
          </w:p>
        </w:tc>
      </w:tr>
      <w:tr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2626"/>
                <w:sz w:val="18"/>
                <w:szCs w:val="18"/>
              </w:rPr>
              <w:t xml:space="preserve">anthropic 0.109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Claude API client — the agentic diagnosis (forced tool-use) and the chat answers.</w:t>
            </w:r>
          </w:p>
        </w:tc>
      </w:tr>
      <w:tr>
        <w:tc>
          <w:tcPr>
            <w:tcW w:type="dxa" w:w="2700"/>
            <w:shd w:fill="EE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2626"/>
                <w:sz w:val="18"/>
                <w:szCs w:val="18"/>
              </w:rPr>
              <w:t xml:space="preserve">pandas 3.0</w:t>
            </w:r>
          </w:p>
        </w:tc>
        <w:tc>
          <w:tcPr>
            <w:tcW w:type="dxa" w:w="6660"/>
            <w:shd w:fill="EE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All tabular data — loading CSVs, query results, the insights mirror.</w:t>
            </w:r>
          </w:p>
        </w:tc>
      </w:tr>
      <w:tr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2626"/>
                <w:sz w:val="18"/>
                <w:szCs w:val="18"/>
              </w:rPr>
              <w:t xml:space="preserve">python-dotenv 1.2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Loads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0087"/>
                <w:sz w:val="17"/>
                <w:szCs w:val="17"/>
              </w:rPr>
              <w:t xml:space="preserve">ANTHROPIC_API_KEY</w:t>
            </w: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 (and config) from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0087"/>
                <w:sz w:val="17"/>
                <w:szCs w:val="17"/>
              </w:rPr>
              <w:t xml:space="preserve">.env</w:t>
            </w: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2700"/>
            <w:shd w:fill="EE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2626"/>
                <w:sz w:val="18"/>
                <w:szCs w:val="18"/>
              </w:rPr>
              <w:t xml:space="preserve">pyyaml 6.0</w:t>
            </w:r>
          </w:p>
        </w:tc>
        <w:tc>
          <w:tcPr>
            <w:tcW w:type="dxa" w:w="6660"/>
            <w:shd w:fill="EE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Reads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0087"/>
                <w:sz w:val="17"/>
                <w:szCs w:val="17"/>
              </w:rPr>
              <w:t xml:space="preserve">prism_config.yaml</w:t>
            </w: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 into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0087"/>
                <w:sz w:val="17"/>
                <w:szCs w:val="17"/>
              </w:rPr>
              <w:t xml:space="preserve">config.py</w:t>
            </w: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2626"/>
                <w:sz w:val="18"/>
                <w:szCs w:val="18"/>
              </w:rPr>
              <w:t xml:space="preserve">pip-system-certs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Uses the OS certificate store (corporate TLS).</w:t>
            </w:r>
          </w:p>
        </w:tc>
      </w:tr>
      <w:tr>
        <w:tc>
          <w:tcPr>
            <w:tcW w:type="dxa" w:w="2700"/>
            <w:shd w:fill="EE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2626"/>
                <w:sz w:val="18"/>
                <w:szCs w:val="18"/>
              </w:rPr>
              <w:t xml:space="preserve">sqlite3 (stdlib)</w:t>
            </w:r>
          </w:p>
        </w:tc>
        <w:tc>
          <w:tcPr>
            <w:tcW w:type="dxa" w:w="6660"/>
            <w:shd w:fill="EE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The in-memory warehouse and the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0087"/>
                <w:sz w:val="17"/>
                <w:szCs w:val="17"/>
              </w:rPr>
              <w:t xml:space="preserve">prism_history.db</w:t>
            </w: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 insights store.</w:t>
            </w:r>
          </w:p>
        </w:tc>
      </w:tr>
      <w:tr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2626"/>
                <w:sz w:val="18"/>
                <w:szCs w:val="18"/>
              </w:rPr>
              <w:t xml:space="preserve">concurrent.futures (stdlib)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0087"/>
                <w:sz w:val="17"/>
                <w:szCs w:val="17"/>
              </w:rPr>
              <w:t xml:space="preserve">ThreadPoolExecutor</w:t>
            </w: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 runs store diagnoses in parallel.</w:t>
            </w:r>
          </w:p>
        </w:tc>
      </w:tr>
    </w:tbl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0086EA"/>
          <w:sz w:val="24"/>
          <w:szCs w:val="24"/>
        </w:rPr>
        <w:t xml:space="preserve">4.2 Data model</w:t>
      </w:r>
    </w:p>
    <w:p>
      <w:pPr>
        <w:spacing w:after="120" w:line="288"/>
      </w:pPr>
      <w:r>
        <w:rPr>
          <w:rFonts w:ascii="Consolas" w:cs="Consolas" w:eastAsia="Consolas" w:hAnsi="Consolas"/>
          <w:color w:val="1C0087"/>
          <w:sz w:val="20"/>
          <w:szCs w:val="20"/>
        </w:rPr>
        <w:t xml:space="preserve">data_connector.py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loads eight CSVs from </w:t>
      </w:r>
      <w:r>
        <w:rPr>
          <w:rFonts w:ascii="Consolas" w:cs="Consolas" w:eastAsia="Consolas" w:hAnsi="Consolas"/>
          <w:color w:val="1C0087"/>
          <w:sz w:val="20"/>
          <w:szCs w:val="20"/>
        </w:rPr>
        <w:t xml:space="preserve">data/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into the in-memory SQLite database: the facts </w:t>
      </w:r>
      <w:r>
        <w:rPr>
          <w:rFonts w:ascii="Consolas" w:cs="Consolas" w:eastAsia="Consolas" w:hAnsi="Consolas"/>
          <w:color w:val="1C0087"/>
          <w:sz w:val="20"/>
          <w:szCs w:val="20"/>
        </w:rPr>
        <w:t xml:space="preserve">Fact_StoreWeekly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C0087"/>
          <w:sz w:val="20"/>
          <w:szCs w:val="20"/>
        </w:rPr>
        <w:t xml:space="preserve">Fact_OSAT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C0087"/>
          <w:sz w:val="20"/>
          <w:szCs w:val="20"/>
        </w:rPr>
        <w:t xml:space="preserve">Fact_FSAScore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; the dimensions </w:t>
      </w:r>
      <w:r>
        <w:rPr>
          <w:rFonts w:ascii="Consolas" w:cs="Consolas" w:eastAsia="Consolas" w:hAnsi="Consolas"/>
          <w:color w:val="1C0087"/>
          <w:sz w:val="20"/>
          <w:szCs w:val="20"/>
        </w:rPr>
        <w:t xml:space="preserve">Dim_Store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C0087"/>
          <w:sz w:val="20"/>
          <w:szCs w:val="20"/>
        </w:rPr>
        <w:t xml:space="preserve">Dim_FranchiseOwner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C0087"/>
          <w:sz w:val="20"/>
          <w:szCs w:val="20"/>
        </w:rPr>
        <w:t xml:space="preserve">Dim_Region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C0087"/>
          <w:sz w:val="20"/>
          <w:szCs w:val="20"/>
        </w:rPr>
        <w:t xml:space="preserve">Dim_Date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; and </w:t>
      </w:r>
      <w:r>
        <w:rPr>
          <w:rFonts w:ascii="Consolas" w:cs="Consolas" w:eastAsia="Consolas" w:hAnsi="Consolas"/>
          <w:color w:val="1C0087"/>
          <w:sz w:val="20"/>
          <w:szCs w:val="20"/>
        </w:rPr>
        <w:t xml:space="preserve">Ref_Targets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(the per-persona goals stores are graded against). In production these tables are served from the Microsoft Fabric Gold layer instead — the code above the connector is unchanged.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0086EA"/>
          <w:sz w:val="24"/>
          <w:szCs w:val="24"/>
        </w:rPr>
        <w:t xml:space="preserve">4.3 Configuration</w:t>
      </w:r>
    </w:p>
    <w:p>
      <w:pPr>
        <w:spacing w:after="120" w:line="288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Everything tunable lives in </w:t>
      </w:r>
      <w:r>
        <w:rPr>
          <w:rFonts w:ascii="Consolas" w:cs="Consolas" w:eastAsia="Consolas" w:hAnsi="Consolas"/>
          <w:color w:val="1C0087"/>
          <w:sz w:val="20"/>
          <w:szCs w:val="20"/>
        </w:rPr>
        <w:t xml:space="preserve">prism_config.yaml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, read once by </w:t>
      </w:r>
      <w:r>
        <w:rPr>
          <w:rFonts w:ascii="Consolas" w:cs="Consolas" w:eastAsia="Consolas" w:hAnsi="Consolas"/>
          <w:color w:val="1C0087"/>
          <w:sz w:val="20"/>
          <w:szCs w:val="20"/>
        </w:rPr>
        <w:t xml:space="preserve">config.py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: the per-metric severity bands and </w:t>
      </w:r>
      <w:r>
        <w:rPr>
          <w:rFonts w:ascii="Consolas" w:cs="Consolas" w:eastAsia="Consolas" w:hAnsi="Consolas"/>
          <w:color w:val="1C0087"/>
          <w:sz w:val="20"/>
          <w:szCs w:val="20"/>
        </w:rPr>
        <w:t xml:space="preserve">is_rate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flags, the food-safety floor, the correlation thresholds (count / share / lift and the fleet-wide spread), </w:t>
      </w:r>
      <w:r>
        <w:rPr>
          <w:rFonts w:ascii="Consolas" w:cs="Consolas" w:eastAsia="Consolas" w:hAnsi="Consolas"/>
          <w:color w:val="1C0087"/>
          <w:sz w:val="20"/>
          <w:szCs w:val="20"/>
        </w:rPr>
        <w:t xml:space="preserve">reasoning.use_tools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1C0087"/>
          <w:sz w:val="20"/>
          <w:szCs w:val="20"/>
        </w:rPr>
        <w:t xml:space="preserve">max_tool_calls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, the model names, and the recommended-action playbook. A missing or broken file falls back to built-in defaults so PRISM keeps running.</w:t>
      </w:r>
    </w:p>
    <w:p>
      <w:r>
        <w:br w:type="page"/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C0087"/>
          <w:sz w:val="30"/>
          <w:szCs w:val="30"/>
        </w:rPr>
        <w:t xml:space="preserve">5. Data boundary &amp; persistence</w:t>
      </w:r>
    </w:p>
    <w:p>
      <w:pPr>
        <w:spacing w:after="120" w:line="288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All data access goes through one module, </w:t>
      </w:r>
      <w:r>
        <w:rPr>
          <w:rFonts w:ascii="Consolas" w:cs="Consolas" w:eastAsia="Consolas" w:hAnsi="Consolas"/>
          <w:color w:val="1C0087"/>
          <w:sz w:val="20"/>
          <w:szCs w:val="20"/>
        </w:rPr>
        <w:t xml:space="preserve">data_connector.py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— the single door. Reads run through </w:t>
      </w:r>
      <w:r>
        <w:rPr>
          <w:rFonts w:ascii="Consolas" w:cs="Consolas" w:eastAsia="Consolas" w:hAnsi="Consolas"/>
          <w:color w:val="1C0087"/>
          <w:sz w:val="20"/>
          <w:szCs w:val="20"/>
        </w:rPr>
        <w:t xml:space="preserve">execute_query()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, which is protected by a </w:t>
      </w: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read-only guard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: only a single </w:t>
      </w:r>
      <w:r>
        <w:rPr>
          <w:rFonts w:ascii="Consolas" w:cs="Consolas" w:eastAsia="Consolas" w:hAnsi="Consolas"/>
          <w:color w:val="1C0087"/>
          <w:sz w:val="20"/>
          <w:szCs w:val="20"/>
        </w:rPr>
        <w:t xml:space="preserve">SELECT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1C0087"/>
          <w:sz w:val="20"/>
          <w:szCs w:val="20"/>
        </w:rPr>
        <w:t xml:space="preserve">WITH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statement may run, so a bad generated query can never mutate data. Writes go through the explicit </w:t>
      </w:r>
      <w:r>
        <w:rPr>
          <w:rFonts w:ascii="Consolas" w:cs="Consolas" w:eastAsia="Consolas" w:hAnsi="Consolas"/>
          <w:color w:val="1C0087"/>
          <w:sz w:val="20"/>
          <w:szCs w:val="20"/>
        </w:rPr>
        <w:t xml:space="preserve">write_insights()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path (never generated SQL). </w:t>
      </w:r>
      <w:r>
        <w:rPr>
          <w:rFonts w:ascii="Consolas" w:cs="Consolas" w:eastAsia="Consolas" w:hAnsi="Consolas"/>
          <w:color w:val="1C0087"/>
          <w:sz w:val="20"/>
          <w:szCs w:val="20"/>
        </w:rPr>
        <w:t xml:space="preserve">alert_store.py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owns the durable state — an </w:t>
      </w:r>
      <w:r>
        <w:rPr>
          <w:rFonts w:ascii="Consolas" w:cs="Consolas" w:eastAsia="Consolas" w:hAnsi="Consolas"/>
          <w:color w:val="1C0087"/>
          <w:sz w:val="20"/>
          <w:szCs w:val="20"/>
        </w:rPr>
        <w:t xml:space="preserve">insights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table that is upserted each run (auto-resolving recovered stores) and a separate </w:t>
      </w:r>
      <w:r>
        <w:rPr>
          <w:rFonts w:ascii="Consolas" w:cs="Consolas" w:eastAsia="Consolas" w:hAnsi="Consolas"/>
          <w:color w:val="1C0087"/>
          <w:sz w:val="20"/>
          <w:szCs w:val="20"/>
        </w:rPr>
        <w:t xml:space="preserve">insight_actions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table for human feedback that a re-run never clobbers.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Figure 4 — reads, writes, and the single production swap point.</w:t>
      </w:r>
    </w:p>
    <w:p>
      <w:r>
        <w:br w:type="page"/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C0087"/>
          <w:sz w:val="30"/>
          <w:szCs w:val="30"/>
        </w:rPr>
        <w:t xml:space="preserve">6. File reference — what each file holds</w:t>
      </w:r>
    </w:p>
    <w:p>
      <w:pPr>
        <w:spacing w:after="120" w:line="288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The codebase is ~5,100 lines of Python across the modules below, grouped by role.</w:t>
      </w:r>
    </w:p>
    <w:tbl>
      <w:tblPr>
        <w:tblW w:type="dxa" w:w="9360"/>
        <w:tblBorders>
          <w:top w:val="single" w:color="D5D8E0" w:sz="2"/>
          <w:left w:val="single" w:color="D5D8E0" w:sz="2"/>
          <w:bottom w:val="single" w:color="D5D8E0" w:sz="2"/>
          <w:right w:val="single" w:color="D5D8E0" w:sz="2"/>
          <w:insideH w:val="single" w:color="E3E6EE" w:sz="2"/>
          <w:insideV w:val="single" w:color="E3E6EE" w:sz="2"/>
        </w:tblBorders>
      </w:tblPr>
      <w:tblGrid>
        <w:gridCol w:w="2550"/>
        <w:gridCol w:w="1650"/>
        <w:gridCol w:w="5160"/>
      </w:tblGrid>
      <w:tr>
        <w:trPr>
          <w:tblHeader/>
        </w:trPr>
        <w:tc>
          <w:tcPr>
            <w:tcW w:type="dxa" w:w="2550"/>
            <w:shd w:fill="1C008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650"/>
            <w:shd w:fill="1C008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5160"/>
            <w:shd w:fill="1C008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holds</w:t>
            </w:r>
          </w:p>
        </w:tc>
      </w:tr>
      <w:tr>
        <w:tc>
          <w:tcPr>
            <w:tcW w:type="dxa" w:w="2550"/>
            <w:shd w:fill="EE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2626"/>
                <w:sz w:val="18"/>
                <w:szCs w:val="18"/>
              </w:rPr>
              <w:t xml:space="preserve">app.py</w:t>
            </w:r>
          </w:p>
        </w:tc>
        <w:tc>
          <w:tcPr>
            <w:tcW w:type="dxa" w:w="1650"/>
            <w:shd w:fill="EE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Presentation</w:t>
            </w:r>
          </w:p>
        </w:tc>
        <w:tc>
          <w:tcPr>
            <w:tcW w:type="dxa" w:w="5160"/>
            <w:shd w:fill="EE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Streamlit entry — page config, branding, loads data, renders the panel, and the “Ask PRISM” chat popover.</w:t>
            </w:r>
          </w:p>
        </w:tc>
      </w:tr>
      <w:tr>
        <w:tc>
          <w:tcPr>
            <w:tcW w:type="dxa" w:w="25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2626"/>
                <w:sz w:val="18"/>
                <w:szCs w:val="18"/>
              </w:rPr>
              <w:t xml:space="preserve">agent_ui.py</w:t>
            </w:r>
          </w:p>
        </w:tc>
        <w:tc>
          <w:tcPr>
            <w:tcW w:type="dxa" w:w="16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Presentation</w:t>
            </w:r>
          </w:p>
        </w:tc>
        <w:tc>
          <w:tcPr>
            <w:tcW w:type="dxa" w:w="5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Renders the store cards, pattern cards, and dispatch bar; the “run” action; card message + routing display.</w:t>
            </w:r>
          </w:p>
        </w:tc>
      </w:tr>
      <w:tr>
        <w:tc>
          <w:tcPr>
            <w:tcW w:type="dxa" w:w="2550"/>
            <w:shd w:fill="EE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2626"/>
                <w:sz w:val="18"/>
                <w:szCs w:val="18"/>
              </w:rPr>
              <w:t xml:space="preserve">agent.py</w:t>
            </w:r>
          </w:p>
        </w:tc>
        <w:tc>
          <w:tcPr>
            <w:tcW w:type="dxa" w:w="1650"/>
            <w:shd w:fill="EE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Orchestration</w:t>
            </w:r>
          </w:p>
        </w:tc>
        <w:tc>
          <w:tcPr>
            <w:tcW w:type="dxa" w:w="5160"/>
            <w:shd w:fill="EE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The pipeline — detection, enrichment,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0087"/>
                <w:sz w:val="17"/>
                <w:szCs w:val="17"/>
              </w:rPr>
              <w:t xml:space="preserve">_diagnose_stores</w:t>
            </w: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, correlation,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0087"/>
                <w:sz w:val="17"/>
                <w:szCs w:val="17"/>
              </w:rPr>
              <w:t xml:space="preserve">_route_recipient</w:t>
            </w: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, narration, and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0087"/>
                <w:sz w:val="17"/>
                <w:szCs w:val="17"/>
              </w:rPr>
              <w:t xml:space="preserve">run_analysis</w:t>
            </w: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25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2626"/>
                <w:sz w:val="18"/>
                <w:szCs w:val="18"/>
              </w:rPr>
              <w:t xml:space="preserve">agent_loop.py</w:t>
            </w:r>
          </w:p>
        </w:tc>
        <w:tc>
          <w:tcPr>
            <w:tcW w:type="dxa" w:w="16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AI step</w:t>
            </w:r>
          </w:p>
        </w:tc>
        <w:tc>
          <w:tcPr>
            <w:tcW w:type="dxa" w:w="5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The investigation loop, the system prompt, and the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0087"/>
                <w:sz w:val="17"/>
                <w:szCs w:val="17"/>
              </w:rPr>
              <w:t xml:space="preserve">store_diagnosis</w:t>
            </w: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 schema; the forced-conclusion exit.</w:t>
            </w:r>
          </w:p>
        </w:tc>
      </w:tr>
      <w:tr>
        <w:tc>
          <w:tcPr>
            <w:tcW w:type="dxa" w:w="2550"/>
            <w:shd w:fill="EE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2626"/>
                <w:sz w:val="18"/>
                <w:szCs w:val="18"/>
              </w:rPr>
              <w:t xml:space="preserve">tools.py</w:t>
            </w:r>
          </w:p>
        </w:tc>
        <w:tc>
          <w:tcPr>
            <w:tcW w:type="dxa" w:w="1650"/>
            <w:shd w:fill="EE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AI step</w:t>
            </w:r>
          </w:p>
        </w:tc>
        <w:tc>
          <w:tcPr>
            <w:tcW w:type="dxa" w:w="5160"/>
            <w:shd w:fill="EE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The 10 read-only tools, their schemas/descriptions, and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0087"/>
                <w:sz w:val="17"/>
                <w:szCs w:val="17"/>
              </w:rPr>
              <w:t xml:space="preserve">run_tool()</w:t>
            </w: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; the cheap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0087"/>
                <w:sz w:val="17"/>
                <w:szCs w:val="17"/>
              </w:rPr>
              <w:t xml:space="preserve">_quick_driver</w:t>
            </w: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 helpers.</w:t>
            </w:r>
          </w:p>
        </w:tc>
      </w:tr>
      <w:tr>
        <w:tc>
          <w:tcPr>
            <w:tcW w:type="dxa" w:w="25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2626"/>
                <w:sz w:val="18"/>
                <w:szCs w:val="18"/>
              </w:rPr>
              <w:t xml:space="preserve">reason.py</w:t>
            </w:r>
          </w:p>
        </w:tc>
        <w:tc>
          <w:tcPr>
            <w:tcW w:type="dxa" w:w="16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AI step</w:t>
            </w:r>
          </w:p>
        </w:tc>
        <w:tc>
          <w:tcPr>
            <w:tcW w:type="dxa" w:w="5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Legacy v1 single-narration diagnosis, used when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0087"/>
                <w:sz w:val="17"/>
                <w:szCs w:val="17"/>
              </w:rPr>
              <w:t xml:space="preserve">reasoning.use_tools</w:t>
            </w: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 is off.</w:t>
            </w:r>
          </w:p>
        </w:tc>
      </w:tr>
      <w:tr>
        <w:tc>
          <w:tcPr>
            <w:tcW w:type="dxa" w:w="2550"/>
            <w:shd w:fill="EE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2626"/>
                <w:sz w:val="18"/>
                <w:szCs w:val="18"/>
              </w:rPr>
              <w:t xml:space="preserve">evidence.py</w:t>
            </w:r>
          </w:p>
        </w:tc>
        <w:tc>
          <w:tcPr>
            <w:tcW w:type="dxa" w:w="1650"/>
            <w:shd w:fill="EE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Analysis</w:t>
            </w:r>
          </w:p>
        </w:tc>
        <w:tc>
          <w:tcPr>
            <w:tcW w:type="dxa" w:w="5160"/>
            <w:shd w:fill="EE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Builds the per-store evidence packet and groups anomalies by store.</w:t>
            </w:r>
          </w:p>
        </w:tc>
      </w:tr>
      <w:tr>
        <w:tc>
          <w:tcPr>
            <w:tcW w:type="dxa" w:w="25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2626"/>
                <w:sz w:val="18"/>
                <w:szCs w:val="18"/>
              </w:rPr>
              <w:t xml:space="preserve">diagnose.py</w:t>
            </w:r>
          </w:p>
        </w:tc>
        <w:tc>
          <w:tcPr>
            <w:tcW w:type="dxa" w:w="16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Analysis</w:t>
            </w:r>
          </w:p>
        </w:tc>
        <w:tc>
          <w:tcPr>
            <w:tcW w:type="dxa" w:w="5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Deterministic per-metric diagnosis and severity — the safe fallback.</w:t>
            </w:r>
          </w:p>
        </w:tc>
      </w:tr>
      <w:tr>
        <w:tc>
          <w:tcPr>
            <w:tcW w:type="dxa" w:w="2550"/>
            <w:shd w:fill="EE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2626"/>
                <w:sz w:val="18"/>
                <w:szCs w:val="18"/>
              </w:rPr>
              <w:t xml:space="preserve">ground.py</w:t>
            </w:r>
          </w:p>
        </w:tc>
        <w:tc>
          <w:tcPr>
            <w:tcW w:type="dxa" w:w="1650"/>
            <w:shd w:fill="EE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Grounding</w:t>
            </w:r>
          </w:p>
        </w:tc>
        <w:tc>
          <w:tcPr>
            <w:tcW w:type="dxa" w:w="5160"/>
            <w:shd w:fill="EE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0087"/>
                <w:sz w:val="17"/>
                <w:szCs w:val="17"/>
              </w:rPr>
              <w:t xml:space="preserve">ground()</w:t>
            </w: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 full validation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0087"/>
                <w:sz w:val="17"/>
                <w:szCs w:val="17"/>
              </w:rPr>
              <w:t xml:space="preserve">ground_agent()</w:t>
            </w: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 severity floor; falls back to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0087"/>
                <w:sz w:val="17"/>
                <w:szCs w:val="17"/>
              </w:rPr>
              <w:t xml:space="preserve">diagnose.py</w:t>
            </w: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25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2626"/>
                <w:sz w:val="18"/>
                <w:szCs w:val="18"/>
              </w:rPr>
              <w:t xml:space="preserve">data_connector.py</w:t>
            </w:r>
          </w:p>
        </w:tc>
        <w:tc>
          <w:tcPr>
            <w:tcW w:type="dxa" w:w="16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Data</w:t>
            </w:r>
          </w:p>
        </w:tc>
        <w:tc>
          <w:tcPr>
            <w:tcW w:type="dxa" w:w="5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The single data door —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0087"/>
                <w:sz w:val="17"/>
                <w:szCs w:val="17"/>
              </w:rPr>
              <w:t xml:space="preserve">get_connection</w:t>
            </w: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0087"/>
                <w:sz w:val="17"/>
                <w:szCs w:val="17"/>
              </w:rPr>
              <w:t xml:space="preserve">execute_query</w:t>
            </w: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 (read-only guard),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0087"/>
                <w:sz w:val="17"/>
                <w:szCs w:val="17"/>
              </w:rPr>
              <w:t xml:space="preserve">write_insights</w:t>
            </w: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2550"/>
            <w:shd w:fill="EE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2626"/>
                <w:sz w:val="18"/>
                <w:szCs w:val="18"/>
              </w:rPr>
              <w:t xml:space="preserve">alert_store.py</w:t>
            </w:r>
          </w:p>
        </w:tc>
        <w:tc>
          <w:tcPr>
            <w:tcW w:type="dxa" w:w="1650"/>
            <w:shd w:fill="EE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Persistence</w:t>
            </w:r>
          </w:p>
        </w:tc>
        <w:tc>
          <w:tcPr>
            <w:tcW w:type="dxa" w:w="5160"/>
            <w:shd w:fill="EE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SQLite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0087"/>
                <w:sz w:val="17"/>
                <w:szCs w:val="17"/>
              </w:rPr>
              <w:t xml:space="preserve">insights</w:t>
            </w: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0087"/>
                <w:sz w:val="17"/>
                <w:szCs w:val="17"/>
              </w:rPr>
              <w:t xml:space="preserve">insight_actions</w:t>
            </w: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; upsert, resolve, and read helpers.</w:t>
            </w:r>
          </w:p>
        </w:tc>
      </w:tr>
      <w:tr>
        <w:tc>
          <w:tcPr>
            <w:tcW w:type="dxa" w:w="25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2626"/>
                <w:sz w:val="18"/>
                <w:szCs w:val="18"/>
              </w:rPr>
              <w:t xml:space="preserve">config.py</w:t>
            </w:r>
          </w:p>
        </w:tc>
        <w:tc>
          <w:tcPr>
            <w:tcW w:type="dxa" w:w="16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Config</w:t>
            </w:r>
          </w:p>
        </w:tc>
        <w:tc>
          <w:tcPr>
            <w:tcW w:type="dxa" w:w="5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Loads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0087"/>
                <w:sz w:val="17"/>
                <w:szCs w:val="17"/>
              </w:rPr>
              <w:t xml:space="preserve">prism_config.yaml</w:t>
            </w: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 and exposes METRICS, CORRELATION, REASONING, PLAYBOOK, models.</w:t>
            </w:r>
          </w:p>
        </w:tc>
      </w:tr>
      <w:tr>
        <w:tc>
          <w:tcPr>
            <w:tcW w:type="dxa" w:w="2550"/>
            <w:shd w:fill="EE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2626"/>
                <w:sz w:val="18"/>
                <w:szCs w:val="18"/>
              </w:rPr>
              <w:t xml:space="preserve">chat_assistant.py</w:t>
            </w:r>
          </w:p>
        </w:tc>
        <w:tc>
          <w:tcPr>
            <w:tcW w:type="dxa" w:w="1650"/>
            <w:shd w:fill="EE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Chat</w:t>
            </w:r>
          </w:p>
        </w:tc>
        <w:tc>
          <w:tcPr>
            <w:tcW w:type="dxa" w:w="5160"/>
            <w:shd w:fill="EE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Routes “Ask PRISM” between data-query mode and alerts mode; conversation memory.</w:t>
            </w:r>
          </w:p>
        </w:tc>
      </w:tr>
      <w:tr>
        <w:tc>
          <w:tcPr>
            <w:tcW w:type="dxa" w:w="25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2626"/>
                <w:sz w:val="18"/>
                <w:szCs w:val="18"/>
              </w:rPr>
              <w:t xml:space="preserve">sql_generator.py</w:t>
            </w:r>
          </w:p>
        </w:tc>
        <w:tc>
          <w:tcPr>
            <w:tcW w:type="dxa" w:w="16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Chat</w:t>
            </w:r>
          </w:p>
        </w:tc>
        <w:tc>
          <w:tcPr>
            <w:tcW w:type="dxa" w:w="5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Natural language → SQL, using the schema context.</w:t>
            </w:r>
          </w:p>
        </w:tc>
      </w:tr>
      <w:tr>
        <w:tc>
          <w:tcPr>
            <w:tcW w:type="dxa" w:w="2550"/>
            <w:shd w:fill="EE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2626"/>
                <w:sz w:val="18"/>
                <w:szCs w:val="18"/>
              </w:rPr>
              <w:t xml:space="preserve">answer_generator.py</w:t>
            </w:r>
          </w:p>
        </w:tc>
        <w:tc>
          <w:tcPr>
            <w:tcW w:type="dxa" w:w="1650"/>
            <w:shd w:fill="EE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Chat</w:t>
            </w:r>
          </w:p>
        </w:tc>
        <w:tc>
          <w:tcPr>
            <w:tcW w:type="dxa" w:w="5160"/>
            <w:shd w:fill="EE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Turns SQL results into a plain-language answer.</w:t>
            </w:r>
          </w:p>
        </w:tc>
      </w:tr>
      <w:tr>
        <w:tc>
          <w:tcPr>
            <w:tcW w:type="dxa" w:w="25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2626"/>
                <w:sz w:val="18"/>
                <w:szCs w:val="18"/>
              </w:rPr>
              <w:t xml:space="preserve">schema_context.py / schema_scan.py</w:t>
            </w:r>
          </w:p>
        </w:tc>
        <w:tc>
          <w:tcPr>
            <w:tcW w:type="dxa" w:w="16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Chat / shared</w:t>
            </w:r>
          </w:p>
        </w:tc>
        <w:tc>
          <w:tcPr>
            <w:tcW w:type="dxa" w:w="5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Describe and scan the DB schema for the chat and the UI.</w:t>
            </w:r>
          </w:p>
        </w:tc>
      </w:tr>
      <w:tr>
        <w:tc>
          <w:tcPr>
            <w:tcW w:type="dxa" w:w="2550"/>
            <w:shd w:fill="EE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2626"/>
                <w:sz w:val="18"/>
                <w:szCs w:val="18"/>
              </w:rPr>
              <w:t xml:space="preserve">debug_*.py</w:t>
            </w:r>
          </w:p>
        </w:tc>
        <w:tc>
          <w:tcPr>
            <w:tcW w:type="dxa" w:w="1650"/>
            <w:shd w:fill="EE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Dev</w:t>
            </w:r>
          </w:p>
        </w:tc>
        <w:tc>
          <w:tcPr>
            <w:tcW w:type="dxa" w:w="5160"/>
            <w:shd w:fill="EE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Small standalone diagnostics (targets, OSAT, persona, weekly, checks).</w:t>
            </w:r>
          </w:p>
        </w:tc>
      </w:tr>
    </w:tbl>
    <w:p>
      <w:r>
        <w:br w:type="page"/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C0087"/>
          <w:sz w:val="30"/>
          <w:szCs w:val="30"/>
        </w:rPr>
        <w:t xml:space="preserve">7. How the code moves, file to file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0086EA"/>
          <w:sz w:val="24"/>
          <w:szCs w:val="24"/>
        </w:rPr>
        <w:t xml:space="preserve">7.1 The proactive run</w:t>
      </w:r>
    </w:p>
    <w:p>
      <w:pPr>
        <w:spacing w:after="120" w:line="288"/>
      </w:pPr>
      <w:r>
        <w:rPr>
          <w:rFonts w:ascii="Consolas" w:cs="Consolas" w:eastAsia="Consolas" w:hAnsi="Consolas"/>
          <w:color w:val="1C0087"/>
          <w:sz w:val="20"/>
          <w:szCs w:val="20"/>
        </w:rPr>
        <w:t xml:space="preserve">app.py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starts Streamlit, loads the shared connection from </w:t>
      </w:r>
      <w:r>
        <w:rPr>
          <w:rFonts w:ascii="Consolas" w:cs="Consolas" w:eastAsia="Consolas" w:hAnsi="Consolas"/>
          <w:color w:val="1C0087"/>
          <w:sz w:val="20"/>
          <w:szCs w:val="20"/>
        </w:rPr>
        <w:t xml:space="preserve">data_connector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, and calls </w:t>
      </w:r>
      <w:r>
        <w:rPr>
          <w:rFonts w:ascii="Consolas" w:cs="Consolas" w:eastAsia="Consolas" w:hAnsi="Consolas"/>
          <w:color w:val="1C0087"/>
          <w:sz w:val="20"/>
          <w:szCs w:val="20"/>
        </w:rPr>
        <w:t xml:space="preserve">render_agent_panel()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in </w:t>
      </w:r>
      <w:r>
        <w:rPr>
          <w:rFonts w:ascii="Consolas" w:cs="Consolas" w:eastAsia="Consolas" w:hAnsi="Consolas"/>
          <w:color w:val="1C0087"/>
          <w:sz w:val="20"/>
          <w:szCs w:val="20"/>
        </w:rPr>
        <w:t xml:space="preserve">agent_ui.py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. When a run is triggered, the UI calls </w:t>
      </w:r>
      <w:r>
        <w:rPr>
          <w:rFonts w:ascii="Consolas" w:cs="Consolas" w:eastAsia="Consolas" w:hAnsi="Consolas"/>
          <w:color w:val="1C0087"/>
          <w:sz w:val="20"/>
          <w:szCs w:val="20"/>
        </w:rPr>
        <w:t xml:space="preserve">agent.run_analysis()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, which drives the whole pipeline: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onsolas" w:cs="Consolas" w:eastAsia="Consolas" w:hAnsi="Consolas"/>
          <w:color w:val="1C0087"/>
          <w:sz w:val="20"/>
          <w:szCs w:val="20"/>
        </w:rPr>
        <w:t xml:space="preserve">agent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detects anomalies (</w:t>
      </w:r>
      <w:r>
        <w:rPr>
          <w:rFonts w:ascii="Consolas" w:cs="Consolas" w:eastAsia="Consolas" w:hAnsi="Consolas"/>
          <w:color w:val="1C0087"/>
          <w:sz w:val="20"/>
          <w:szCs w:val="20"/>
        </w:rPr>
        <w:t xml:space="preserve">_detect_weekly_metric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C0087"/>
          <w:sz w:val="20"/>
          <w:szCs w:val="20"/>
        </w:rPr>
        <w:t xml:space="preserve">_detect_fsa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) reading through </w:t>
      </w:r>
      <w:r>
        <w:rPr>
          <w:rFonts w:ascii="Consolas" w:cs="Consolas" w:eastAsia="Consolas" w:hAnsi="Consolas"/>
          <w:color w:val="1C0087"/>
          <w:sz w:val="20"/>
          <w:szCs w:val="20"/>
        </w:rPr>
        <w:t xml:space="preserve">data_connector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, then enriches them with owners and builds packets via </w:t>
      </w:r>
      <w:r>
        <w:rPr>
          <w:rFonts w:ascii="Consolas" w:cs="Consolas" w:eastAsia="Consolas" w:hAnsi="Consolas"/>
          <w:color w:val="1C0087"/>
          <w:sz w:val="20"/>
          <w:szCs w:val="20"/>
        </w:rPr>
        <w:t xml:space="preserve">evidence.py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For each flagged store, </w:t>
      </w:r>
      <w:r>
        <w:rPr>
          <w:rFonts w:ascii="Consolas" w:cs="Consolas" w:eastAsia="Consolas" w:hAnsi="Consolas"/>
          <w:color w:val="1C0087"/>
          <w:sz w:val="20"/>
          <w:szCs w:val="20"/>
        </w:rPr>
        <w:t xml:space="preserve">agent._diagnose_stores()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calls </w:t>
      </w:r>
      <w:r>
        <w:rPr>
          <w:rFonts w:ascii="Consolas" w:cs="Consolas" w:eastAsia="Consolas" w:hAnsi="Consolas"/>
          <w:color w:val="1C0087"/>
          <w:sz w:val="20"/>
          <w:szCs w:val="20"/>
        </w:rPr>
        <w:t xml:space="preserve">agent_loop.diagnose_store_agentic()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, which loops with the model and executes </w:t>
      </w:r>
      <w:r>
        <w:rPr>
          <w:rFonts w:ascii="Consolas" w:cs="Consolas" w:eastAsia="Consolas" w:hAnsi="Consolas"/>
          <w:color w:val="1C0087"/>
          <w:sz w:val="20"/>
          <w:szCs w:val="20"/>
        </w:rPr>
        <w:t xml:space="preserve">tools.run_tool()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— every tool reads through </w:t>
      </w:r>
      <w:r>
        <w:rPr>
          <w:rFonts w:ascii="Consolas" w:cs="Consolas" w:eastAsia="Consolas" w:hAnsi="Consolas"/>
          <w:color w:val="1C0087"/>
          <w:sz w:val="20"/>
          <w:szCs w:val="20"/>
        </w:rPr>
        <w:t xml:space="preserve">data_connector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The diagnosis is validated by </w:t>
      </w:r>
      <w:r>
        <w:rPr>
          <w:rFonts w:ascii="Consolas" w:cs="Consolas" w:eastAsia="Consolas" w:hAnsi="Consolas"/>
          <w:color w:val="1C0087"/>
          <w:sz w:val="20"/>
          <w:szCs w:val="20"/>
        </w:rPr>
        <w:t xml:space="preserve">ground.ground_agent()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(which can fall back to </w:t>
      </w:r>
      <w:r>
        <w:rPr>
          <w:rFonts w:ascii="Consolas" w:cs="Consolas" w:eastAsia="Consolas" w:hAnsi="Consolas"/>
          <w:color w:val="1C0087"/>
          <w:sz w:val="20"/>
          <w:szCs w:val="20"/>
        </w:rPr>
        <w:t xml:space="preserve">diagnose.py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onsolas" w:cs="Consolas" w:eastAsia="Consolas" w:hAnsi="Consolas"/>
          <w:color w:val="1C0087"/>
          <w:sz w:val="20"/>
          <w:szCs w:val="20"/>
        </w:rPr>
        <w:t xml:space="preserve">agent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then correlates (</w:t>
      </w:r>
      <w:r>
        <w:rPr>
          <w:rFonts w:ascii="Consolas" w:cs="Consolas" w:eastAsia="Consolas" w:hAnsi="Consolas"/>
          <w:color w:val="1C0087"/>
          <w:sz w:val="20"/>
          <w:szCs w:val="20"/>
        </w:rPr>
        <w:t xml:space="preserve">_quick_driver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C0087"/>
          <w:sz w:val="20"/>
          <w:szCs w:val="20"/>
        </w:rPr>
        <w:t xml:space="preserve">_correlate_by_cause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C0087"/>
          <w:sz w:val="20"/>
          <w:szCs w:val="20"/>
        </w:rPr>
        <w:t xml:space="preserve">_find_fleet_patterns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) and routes (</w:t>
      </w:r>
      <w:r>
        <w:rPr>
          <w:rFonts w:ascii="Consolas" w:cs="Consolas" w:eastAsia="Consolas" w:hAnsi="Consolas"/>
          <w:color w:val="1C0087"/>
          <w:sz w:val="20"/>
          <w:szCs w:val="20"/>
        </w:rPr>
        <w:t xml:space="preserve">_route_recipient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Results flow back to </w:t>
      </w:r>
      <w:r>
        <w:rPr>
          <w:rFonts w:ascii="Consolas" w:cs="Consolas" w:eastAsia="Consolas" w:hAnsi="Consolas"/>
          <w:color w:val="1C0087"/>
          <w:sz w:val="20"/>
          <w:szCs w:val="20"/>
        </w:rPr>
        <w:t xml:space="preserve">agent_ui.py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to render, to </w:t>
      </w:r>
      <w:r>
        <w:rPr>
          <w:rFonts w:ascii="Consolas" w:cs="Consolas" w:eastAsia="Consolas" w:hAnsi="Consolas"/>
          <w:color w:val="1C0087"/>
          <w:sz w:val="20"/>
          <w:szCs w:val="20"/>
        </w:rPr>
        <w:t xml:space="preserve">alert_store.py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to persist, and to </w:t>
      </w:r>
      <w:r>
        <w:rPr>
          <w:rFonts w:ascii="Consolas" w:cs="Consolas" w:eastAsia="Consolas" w:hAnsi="Consolas"/>
          <w:color w:val="1C0087"/>
          <w:sz w:val="20"/>
          <w:szCs w:val="20"/>
        </w:rPr>
        <w:t xml:space="preserve">data_connector.write_insights()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to mirror for the dashboard. Throughout, every module reads its settings from </w:t>
      </w:r>
      <w:r>
        <w:rPr>
          <w:rFonts w:ascii="Consolas" w:cs="Consolas" w:eastAsia="Consolas" w:hAnsi="Consolas"/>
          <w:color w:val="1C0087"/>
          <w:sz w:val="20"/>
          <w:szCs w:val="20"/>
        </w:rPr>
        <w:t xml:space="preserve">config.py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0086EA"/>
          <w:sz w:val="24"/>
          <w:szCs w:val="24"/>
        </w:rPr>
        <w:t xml:space="preserve">7.2 The “Ask PRISM” chat</w:t>
      </w:r>
    </w:p>
    <w:p>
      <w:pPr>
        <w:spacing w:after="120" w:line="288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The floating chat in </w:t>
      </w:r>
      <w:r>
        <w:rPr>
          <w:rFonts w:ascii="Consolas" w:cs="Consolas" w:eastAsia="Consolas" w:hAnsi="Consolas"/>
          <w:color w:val="1C0087"/>
          <w:sz w:val="20"/>
          <w:szCs w:val="20"/>
        </w:rPr>
        <w:t xml:space="preserve">app.py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calls </w:t>
      </w:r>
      <w:r>
        <w:rPr>
          <w:rFonts w:ascii="Consolas" w:cs="Consolas" w:eastAsia="Consolas" w:hAnsi="Consolas"/>
          <w:color w:val="1C0087"/>
          <w:sz w:val="20"/>
          <w:szCs w:val="20"/>
        </w:rPr>
        <w:t xml:space="preserve">chat_assistant.ask()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, which routes to one of two modes. A </w:t>
      </w: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data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question goes </w:t>
      </w:r>
      <w:r>
        <w:rPr>
          <w:rFonts w:ascii="Consolas" w:cs="Consolas" w:eastAsia="Consolas" w:hAnsi="Consolas"/>
          <w:color w:val="1C0087"/>
          <w:sz w:val="20"/>
          <w:szCs w:val="20"/>
        </w:rPr>
        <w:t xml:space="preserve">sql_generator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(NL → SQL, using </w:t>
      </w:r>
      <w:r>
        <w:rPr>
          <w:rFonts w:ascii="Consolas" w:cs="Consolas" w:eastAsia="Consolas" w:hAnsi="Consolas"/>
          <w:color w:val="1C0087"/>
          <w:sz w:val="20"/>
          <w:szCs w:val="20"/>
        </w:rPr>
        <w:t xml:space="preserve">schema_context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) → </w:t>
      </w:r>
      <w:r>
        <w:rPr>
          <w:rFonts w:ascii="Consolas" w:cs="Consolas" w:eastAsia="Consolas" w:hAnsi="Consolas"/>
          <w:color w:val="1C0087"/>
          <w:sz w:val="20"/>
          <w:szCs w:val="20"/>
        </w:rPr>
        <w:t xml:space="preserve">data_connector.execute_query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1C0087"/>
          <w:sz w:val="20"/>
          <w:szCs w:val="20"/>
        </w:rPr>
        <w:t xml:space="preserve">answer_generator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(results → prose). An </w:t>
      </w: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alerts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question is answered from the persisted insights via </w:t>
      </w:r>
      <w:r>
        <w:rPr>
          <w:rFonts w:ascii="Consolas" w:cs="Consolas" w:eastAsia="Consolas" w:hAnsi="Consolas"/>
          <w:color w:val="1C0087"/>
          <w:sz w:val="20"/>
          <w:szCs w:val="20"/>
        </w:rPr>
        <w:t xml:space="preserve">alert_store.get_insights()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, phrased by the model. This is the human-in-the-loop surface where a generated query is allowed — always behind the read-only guard.</w:t>
      </w:r>
    </w:p>
    <w:p>
      <w:r>
        <w:br w:type="page"/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C0087"/>
          <w:sz w:val="30"/>
          <w:szCs w:val="30"/>
        </w:rPr>
        <w:t xml:space="preserve">8. Guardrails and keeping the agent honest</w:t>
      </w:r>
    </w:p>
    <w:p>
      <w:pPr>
        <w:spacing w:after="120" w:line="288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PRISM's trust model is that freedom scales with oversight. On the unattended weekly path the agent is bounded to verified read-only tools and its every claim is validated; open SQL is only allowed in the human-reviewed chat. Detection is deterministic, tools return measurements not verdicts, grounding floors severity and checks cited numbers, and there is always a safe deterministic fallback.</w:t>
      </w:r>
    </w:p>
    <w:p>
      <w:pPr>
        <w:spacing w:after="120" w:line="288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When the agent still gets one wrong despite having the tools, the fix is a loop, not a one-off: </w:t>
      </w: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reproduce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the case (input + tool trace + correct answer) → </w:t>
      </w: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diagnose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why from the trace → </w:t>
      </w: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fix the class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(a firmer prompt rule, a better tool description, a deterministic checker in </w:t>
      </w:r>
      <w:r>
        <w:rPr>
          <w:rFonts w:ascii="Consolas" w:cs="Consolas" w:eastAsia="Consolas" w:hAnsi="Consolas"/>
          <w:color w:val="1C0087"/>
          <w:sz w:val="20"/>
          <w:szCs w:val="20"/>
        </w:rPr>
        <w:t xml:space="preserve">ground_agent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, or moving the check into code) → </w:t>
      </w: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lock it with a regression test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score on an eval set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→ feed new cases from the thumbs-down feedback in </w:t>
      </w:r>
      <w:r>
        <w:rPr>
          <w:rFonts w:ascii="Consolas" w:cs="Consolas" w:eastAsia="Consolas" w:hAnsi="Consolas"/>
          <w:color w:val="1C0087"/>
          <w:sz w:val="20"/>
          <w:szCs w:val="20"/>
        </w:rPr>
        <w:t xml:space="preserve">insight_actions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. The strongest lever is a deterministic checker, because it catches the error without trusting the model to be careful.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C0087"/>
          <w:sz w:val="30"/>
          <w:szCs w:val="30"/>
        </w:rPr>
        <w:t xml:space="preserve">9. Running PRISM</w:t>
      </w:r>
    </w:p>
    <w:p>
      <w:pPr>
        <w:spacing w:after="120" w:line="288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From the project folder, with the virtual environment active, launch the Streamlit app: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color w:val="1C0087"/>
          <w:sz w:val="20"/>
          <w:szCs w:val="20"/>
        </w:rPr>
        <w:t xml:space="preserve">  .\venv\Scripts\python.exe -m streamlit run app.py  </w:t>
      </w:r>
    </w:p>
    <w:p>
      <w:pPr>
        <w:spacing w:after="120" w:line="288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An </w:t>
      </w:r>
      <w:r>
        <w:rPr>
          <w:rFonts w:ascii="Consolas" w:cs="Consolas" w:eastAsia="Consolas" w:hAnsi="Consolas"/>
          <w:color w:val="1C0087"/>
          <w:sz w:val="20"/>
          <w:szCs w:val="20"/>
        </w:rPr>
        <w:t xml:space="preserve">ANTHROPIC_API_KEY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in </w:t>
      </w:r>
      <w:r>
        <w:rPr>
          <w:rFonts w:ascii="Consolas" w:cs="Consolas" w:eastAsia="Consolas" w:hAnsi="Consolas"/>
          <w:color w:val="1C0087"/>
          <w:sz w:val="20"/>
          <w:szCs w:val="20"/>
        </w:rPr>
        <w:t xml:space="preserve">.env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is required for the AI diagnosis and chat; without it, detection and the deterministic fallback still run. Configuration is read once at import, so a change to </w:t>
      </w:r>
      <w:r>
        <w:rPr>
          <w:rFonts w:ascii="Consolas" w:cs="Consolas" w:eastAsia="Consolas" w:hAnsi="Consolas"/>
          <w:color w:val="1C0087"/>
          <w:sz w:val="20"/>
          <w:szCs w:val="20"/>
        </w:rPr>
        <w:t xml:space="preserve">prism_config.yaml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needs a full app restart to take effect.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ba7bc7e45af864cef751e74b7b9cffa29dc7d52.png"/><Relationship Id="rId8" Type="http://schemas.openxmlformats.org/officeDocument/2006/relationships/image" Target="media/1904f8ffb25f263eb240f2347a108dd4c3b4bee3.png"/><Relationship Id="rId9" Type="http://schemas.openxmlformats.org/officeDocument/2006/relationships/image" Target="media/57fe0f6a4079a6d96a5e04b3935be5cc8e068e56.png"/><Relationship Id="rId10" Type="http://schemas.openxmlformats.org/officeDocument/2006/relationships/image" Target="media/db1b7d00dcc58f2ccf12de5195b261ef359b09b1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PRISM Technical Documentation</dc:title>
  <dc:creator>PRISM</dc:creator>
  <cp:lastModifiedBy>Un-named</cp:lastModifiedBy>
  <cp:revision>1</cp:revision>
  <dcterms:created xsi:type="dcterms:W3CDTF">2026-07-22T06:45:28.883Z</dcterms:created>
  <dcterms:modified xsi:type="dcterms:W3CDTF">2026-07-22T06:45:28.883Z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